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E451" w14:textId="77777777" w:rsidR="00B51653" w:rsidRDefault="00000000">
      <w:pPr>
        <w:jc w:val="center"/>
      </w:pPr>
      <w:r>
        <w:rPr>
          <w:b/>
          <w:bCs/>
        </w:rPr>
        <w:t>TEG Learning Communities (LC) FY 2026/2027</w:t>
      </w:r>
    </w:p>
    <w:p w14:paraId="6728CCB1" w14:textId="77777777" w:rsidR="00B51653" w:rsidRDefault="00000000">
      <w:pPr>
        <w:jc w:val="center"/>
      </w:pPr>
      <w:r>
        <w:rPr>
          <w:b/>
        </w:rPr>
        <w:t>Call for Proposals</w:t>
      </w:r>
    </w:p>
    <w:p w14:paraId="23419744" w14:textId="77777777" w:rsidR="00B51653" w:rsidRDefault="00B51653">
      <w:pPr>
        <w:jc w:val="both"/>
      </w:pPr>
    </w:p>
    <w:p w14:paraId="2654D3F0" w14:textId="77777777" w:rsidR="00B51653" w:rsidRDefault="00000000">
      <w:pPr>
        <w:pStyle w:val="ListParagraph"/>
        <w:numPr>
          <w:ilvl w:val="0"/>
          <w:numId w:val="1"/>
        </w:numPr>
        <w:jc w:val="both"/>
        <w:rPr>
          <w:b/>
        </w:rPr>
      </w:pPr>
      <w:r>
        <w:rPr>
          <w:b/>
        </w:rPr>
        <w:t>Purpose</w:t>
      </w:r>
    </w:p>
    <w:p w14:paraId="1F535590" w14:textId="77777777" w:rsidR="00B51653" w:rsidRDefault="00000000">
      <w:pPr>
        <w:pStyle w:val="ListParagraph"/>
        <w:jc w:val="both"/>
      </w:pPr>
      <w:r>
        <w:t xml:space="preserve">Teaching Enhancement Grants (TEG) provide financial support for scholarly work to improve the quality of teaching and learning at NUS. This initiative, TEG Learning Communities, seeks to strengthen connections and create supportive networks for teaching in NUS through the establishment of funded Learning Communities. </w:t>
      </w:r>
    </w:p>
    <w:p w14:paraId="5B0631B4" w14:textId="77777777" w:rsidR="00B51653" w:rsidRDefault="00B51653">
      <w:pPr>
        <w:pStyle w:val="ListParagraph"/>
        <w:jc w:val="both"/>
      </w:pPr>
    </w:p>
    <w:p w14:paraId="17ADAFAB" w14:textId="77777777" w:rsidR="00B51653" w:rsidRDefault="00000000">
      <w:pPr>
        <w:pStyle w:val="ListParagraph"/>
        <w:jc w:val="both"/>
      </w:pPr>
      <w:r>
        <w:t>TEG Learning Communities (LC) will engage in focused and sustained discussions of a topic related to university teaching, which is of mutual concern to the group. The group can potentially comprise of educators and other interested participants, including where possible, students and non-academic staff. Although the Learning Communities can take membership from across the institution, projects may want to focus on a topic that is important for a particular Unit, Department or Faculty. That said, there exists huge changes which are currently taking place in the Higher Education landscape both locally and internationally, and it is crucial that we consider how these changes may affect NUS. It is our hope that these TEG Learning Communities will provide a space for colleagues to discuss and develop appropriate solutions to issues that genuinely matter, resulting in significant positive impact on university teaching at NUS.</w:t>
      </w:r>
    </w:p>
    <w:p w14:paraId="7D38EE76" w14:textId="77777777" w:rsidR="00B51653" w:rsidRDefault="00B51653">
      <w:pPr>
        <w:pStyle w:val="ListParagraph"/>
        <w:jc w:val="both"/>
      </w:pPr>
    </w:p>
    <w:p w14:paraId="0C211FAE" w14:textId="77777777" w:rsidR="00B51653" w:rsidRDefault="00000000">
      <w:pPr>
        <w:pStyle w:val="ListParagraph"/>
        <w:jc w:val="both"/>
      </w:pPr>
      <w:r>
        <w:t xml:space="preserve">To support the above, TEG Learning Community grants will provide financial assistance for 1 year for a maximum of </w:t>
      </w:r>
      <w:r>
        <w:rPr>
          <w:b/>
          <w:bCs/>
        </w:rPr>
        <w:t>$2,000.</w:t>
      </w:r>
    </w:p>
    <w:p w14:paraId="6DC8FE98" w14:textId="77777777" w:rsidR="00B51653" w:rsidRDefault="00B51653">
      <w:pPr>
        <w:pStyle w:val="ListParagraph"/>
        <w:jc w:val="both"/>
      </w:pPr>
    </w:p>
    <w:p w14:paraId="52DC09C0" w14:textId="77777777" w:rsidR="00B51653" w:rsidRDefault="00000000">
      <w:pPr>
        <w:pStyle w:val="ListParagraph"/>
        <w:jc w:val="both"/>
        <w:rPr>
          <w:b/>
          <w:bCs/>
        </w:rPr>
      </w:pPr>
      <w:r>
        <w:rPr>
          <w:b/>
          <w:bCs/>
        </w:rPr>
        <w:t xml:space="preserve">Note: The TEG does not fund communities that are designed as in-house professional development training sessions. For example, having monthly series of invited talks or specific training for a group of colleagues over time. </w:t>
      </w:r>
    </w:p>
    <w:p w14:paraId="5E6EE064" w14:textId="77777777" w:rsidR="00B51653" w:rsidRDefault="00B51653">
      <w:pPr>
        <w:pStyle w:val="ListParagraph"/>
        <w:jc w:val="both"/>
      </w:pPr>
    </w:p>
    <w:p w14:paraId="5EA34DC5" w14:textId="77777777" w:rsidR="00B51653" w:rsidRDefault="00000000">
      <w:pPr>
        <w:pStyle w:val="ListParagraph"/>
        <w:numPr>
          <w:ilvl w:val="0"/>
          <w:numId w:val="1"/>
        </w:numPr>
        <w:jc w:val="both"/>
        <w:rPr>
          <w:b/>
          <w:bCs/>
        </w:rPr>
      </w:pPr>
      <w:r>
        <w:rPr>
          <w:b/>
          <w:bCs/>
        </w:rPr>
        <w:t>Themes</w:t>
      </w:r>
    </w:p>
    <w:p w14:paraId="39EB588E" w14:textId="77777777" w:rsidR="00B51653" w:rsidRDefault="00000000">
      <w:pPr>
        <w:pStyle w:val="ListParagraph"/>
        <w:jc w:val="both"/>
      </w:pPr>
      <w:r>
        <w:t>The FY 2026/2027 TEG Learning Community grant call invites proposals that address the following theme:</w:t>
      </w:r>
    </w:p>
    <w:p w14:paraId="14B11F33" w14:textId="77777777" w:rsidR="00B51653" w:rsidRDefault="00B51653">
      <w:pPr>
        <w:pStyle w:val="ListParagraph"/>
        <w:jc w:val="both"/>
        <w:rPr>
          <w:b/>
          <w:bCs/>
        </w:rPr>
      </w:pPr>
    </w:p>
    <w:p w14:paraId="6A06924F" w14:textId="77777777" w:rsidR="00B51653" w:rsidRDefault="00000000">
      <w:pPr>
        <w:pStyle w:val="ListParagraph"/>
        <w:jc w:val="both"/>
        <w:rPr>
          <w:b/>
          <w:bCs/>
        </w:rPr>
      </w:pPr>
      <w:proofErr w:type="gramStart"/>
      <w:r>
        <w:rPr>
          <w:b/>
          <w:bCs/>
        </w:rPr>
        <w:t>In the midst of</w:t>
      </w:r>
      <w:proofErr w:type="gramEnd"/>
      <w:r>
        <w:rPr>
          <w:b/>
          <w:bCs/>
        </w:rPr>
        <w:t xml:space="preserve"> rapid change, what stays at the heart of the NUS Community?</w:t>
      </w:r>
    </w:p>
    <w:p w14:paraId="1927D60A" w14:textId="77777777" w:rsidR="00B51653" w:rsidRDefault="00B51653">
      <w:pPr>
        <w:pStyle w:val="ListParagraph"/>
        <w:jc w:val="both"/>
        <w:rPr>
          <w:rFonts w:eastAsia="Times New Roman"/>
          <w:shd w:val="clear" w:color="auto" w:fill="FFFF00"/>
          <w:lang w:val="en-SG" w:eastAsia="en-GB"/>
        </w:rPr>
      </w:pPr>
    </w:p>
    <w:p w14:paraId="284B0258" w14:textId="77777777" w:rsidR="00B51653" w:rsidRDefault="00000000">
      <w:pPr>
        <w:pStyle w:val="ListParagraph"/>
        <w:jc w:val="both"/>
      </w:pPr>
      <w:r>
        <w:t>We invite faculty members to propose Learning Communities that bring colleagues together for meaningful and rich dialogue, aimed at shaping and enhancing teaching and learning within NUS and beyond.</w:t>
      </w:r>
    </w:p>
    <w:p w14:paraId="60A5B319" w14:textId="77777777" w:rsidR="00B51653" w:rsidRDefault="00B51653">
      <w:pPr>
        <w:pStyle w:val="ListParagraph"/>
        <w:jc w:val="both"/>
        <w:rPr>
          <w:b/>
        </w:rPr>
      </w:pPr>
    </w:p>
    <w:p w14:paraId="4FD4AAB6" w14:textId="77777777" w:rsidR="00B51653" w:rsidRDefault="00000000">
      <w:pPr>
        <w:pStyle w:val="ListParagraph"/>
        <w:numPr>
          <w:ilvl w:val="0"/>
          <w:numId w:val="1"/>
        </w:numPr>
        <w:jc w:val="both"/>
        <w:rPr>
          <w:b/>
        </w:rPr>
      </w:pPr>
      <w:r>
        <w:rPr>
          <w:b/>
        </w:rPr>
        <w:t>Eligibility</w:t>
      </w:r>
    </w:p>
    <w:p w14:paraId="2CA5DFC9" w14:textId="77777777" w:rsidR="00B51653" w:rsidRDefault="00000000">
      <w:pPr>
        <w:pStyle w:val="ListParagraph"/>
        <w:jc w:val="both"/>
      </w:pPr>
      <w:r>
        <w:t xml:space="preserve">Application is open to all teaching staff of NUS, whether academic or professional. TEG Learning Communities are a result of collaborative efforts, hence each proposal to form a TEG Learning Community should consist of ONE principal facilitator and ONE co-facilitator. </w:t>
      </w:r>
    </w:p>
    <w:p w14:paraId="7286E96C" w14:textId="77777777" w:rsidR="00B51653" w:rsidRDefault="00B51653">
      <w:pPr>
        <w:pStyle w:val="ListParagraph"/>
        <w:jc w:val="both"/>
      </w:pPr>
    </w:p>
    <w:p w14:paraId="3CB5D869" w14:textId="77777777" w:rsidR="00B51653" w:rsidRDefault="00000000">
      <w:pPr>
        <w:pStyle w:val="ListParagraph"/>
        <w:jc w:val="both"/>
      </w:pPr>
      <w:r>
        <w:t xml:space="preserve">Members of the TEG Learning Community can include faculty teaching members, professional staff, research assistants, and undergraduate and postgraduate NUS </w:t>
      </w:r>
      <w:r>
        <w:lastRenderedPageBreak/>
        <w:t xml:space="preserve">students. The optimal size of a TEG Learning Community is 8–12 people, and it is preferable to include participants at different levels and stages of their careers.  </w:t>
      </w:r>
    </w:p>
    <w:p w14:paraId="273BF782" w14:textId="77777777" w:rsidR="00B51653" w:rsidRDefault="00B51653">
      <w:pPr>
        <w:pStyle w:val="ListParagraph"/>
        <w:jc w:val="both"/>
      </w:pPr>
    </w:p>
    <w:p w14:paraId="4292F504" w14:textId="77777777" w:rsidR="00B51653" w:rsidRDefault="00000000">
      <w:pPr>
        <w:pStyle w:val="ListParagraph"/>
        <w:jc w:val="both"/>
      </w:pPr>
      <w:r>
        <w:t>Existing TEG Learning Community projects could also make a subsequent application to sustain their initiatives and to propose any new endeavours with justifications.</w:t>
      </w:r>
    </w:p>
    <w:p w14:paraId="1ACE7C89" w14:textId="77777777" w:rsidR="00B51653" w:rsidRDefault="00B51653">
      <w:pPr>
        <w:pStyle w:val="ListParagraph"/>
        <w:jc w:val="both"/>
      </w:pPr>
    </w:p>
    <w:p w14:paraId="7E8C64B0" w14:textId="77777777" w:rsidR="00B51653" w:rsidRDefault="00000000">
      <w:pPr>
        <w:pStyle w:val="ListParagraph"/>
        <w:numPr>
          <w:ilvl w:val="0"/>
          <w:numId w:val="1"/>
        </w:numPr>
        <w:jc w:val="both"/>
        <w:rPr>
          <w:b/>
        </w:rPr>
      </w:pPr>
      <w:r>
        <w:rPr>
          <w:b/>
        </w:rPr>
        <w:t>Selection Criteria</w:t>
      </w:r>
    </w:p>
    <w:p w14:paraId="6AFFBABB" w14:textId="77777777" w:rsidR="00B51653" w:rsidRDefault="00000000">
      <w:pPr>
        <w:pStyle w:val="ListParagraph"/>
        <w:jc w:val="both"/>
      </w:pPr>
      <w:r>
        <w:t>TEG Learning Community proposals will be reviewed and evaluated by the CTLT TEG Review Team. These proposals will be reviewed and evaluated based on the following criteria. In the proposal, applicants should consider the following guiding questions associated with each of these criteria.</w:t>
      </w:r>
    </w:p>
    <w:p w14:paraId="6FAB8F71" w14:textId="77777777" w:rsidR="00B51653" w:rsidRDefault="00B51653">
      <w:pPr>
        <w:pStyle w:val="ListParagraph"/>
        <w:jc w:val="both"/>
      </w:pPr>
    </w:p>
    <w:p w14:paraId="23AAD777" w14:textId="77777777" w:rsidR="00B51653" w:rsidRDefault="00B51653">
      <w:pPr>
        <w:pStyle w:val="ListParagraph"/>
        <w:jc w:val="both"/>
      </w:pPr>
    </w:p>
    <w:tbl>
      <w:tblPr>
        <w:tblW w:w="8290" w:type="dxa"/>
        <w:tblInd w:w="720" w:type="dxa"/>
        <w:tblCellMar>
          <w:left w:w="10" w:type="dxa"/>
          <w:right w:w="10" w:type="dxa"/>
        </w:tblCellMar>
        <w:tblLook w:val="04A0" w:firstRow="1" w:lastRow="0" w:firstColumn="1" w:lastColumn="0" w:noHBand="0" w:noVBand="1"/>
      </w:tblPr>
      <w:tblGrid>
        <w:gridCol w:w="1543"/>
        <w:gridCol w:w="6747"/>
      </w:tblGrid>
      <w:tr w:rsidR="00B51653" w14:paraId="2432BBB7" w14:textId="77777777">
        <w:tblPrEx>
          <w:tblCellMar>
            <w:top w:w="0" w:type="dxa"/>
            <w:bottom w:w="0" w:type="dxa"/>
          </w:tblCellMar>
        </w:tblPrEx>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8BBFB" w14:textId="77777777" w:rsidR="00B51653" w:rsidRDefault="00000000">
            <w:pPr>
              <w:pStyle w:val="ListParagraph"/>
              <w:ind w:left="0"/>
              <w:jc w:val="both"/>
              <w:rPr>
                <w:b/>
                <w:bCs/>
              </w:rPr>
            </w:pPr>
            <w:r>
              <w:rPr>
                <w:b/>
                <w:bCs/>
              </w:rPr>
              <w:t>Criteria</w:t>
            </w:r>
          </w:p>
        </w:tc>
        <w:tc>
          <w:tcPr>
            <w:tcW w:w="6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07E87" w14:textId="77777777" w:rsidR="00B51653" w:rsidRDefault="00000000">
            <w:pPr>
              <w:pStyle w:val="ListParagraph"/>
              <w:ind w:left="0"/>
              <w:jc w:val="both"/>
              <w:rPr>
                <w:b/>
                <w:bCs/>
              </w:rPr>
            </w:pPr>
            <w:r>
              <w:rPr>
                <w:b/>
                <w:bCs/>
              </w:rPr>
              <w:t>Guiding questions</w:t>
            </w:r>
          </w:p>
        </w:tc>
      </w:tr>
      <w:tr w:rsidR="00B51653" w14:paraId="5BCBF5B4" w14:textId="77777777">
        <w:tblPrEx>
          <w:tblCellMar>
            <w:top w:w="0" w:type="dxa"/>
            <w:bottom w:w="0" w:type="dxa"/>
          </w:tblCellMar>
        </w:tblPrEx>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81793" w14:textId="77777777" w:rsidR="00B51653" w:rsidRDefault="00000000">
            <w:pPr>
              <w:pStyle w:val="ListParagraph"/>
              <w:ind w:left="0"/>
              <w:jc w:val="both"/>
            </w:pPr>
            <w:r>
              <w:t>Relevance</w:t>
            </w:r>
          </w:p>
        </w:tc>
        <w:tc>
          <w:tcPr>
            <w:tcW w:w="6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D2FCD" w14:textId="77777777" w:rsidR="00B51653" w:rsidRDefault="00000000">
            <w:pPr>
              <w:pStyle w:val="ListParagraph"/>
              <w:numPr>
                <w:ilvl w:val="0"/>
                <w:numId w:val="2"/>
              </w:numPr>
              <w:jc w:val="both"/>
            </w:pPr>
            <w:r>
              <w:t>What teaching and learning issue at NUS will the learning community address?</w:t>
            </w:r>
          </w:p>
          <w:p w14:paraId="6A6FBDA9" w14:textId="77777777" w:rsidR="00B51653" w:rsidRDefault="00000000">
            <w:pPr>
              <w:pStyle w:val="ListParagraph"/>
              <w:numPr>
                <w:ilvl w:val="0"/>
                <w:numId w:val="2"/>
              </w:numPr>
              <w:jc w:val="both"/>
            </w:pPr>
            <w:r>
              <w:t>Why is it important to study this issue?</w:t>
            </w:r>
          </w:p>
        </w:tc>
      </w:tr>
      <w:tr w:rsidR="00B51653" w14:paraId="2AF31F42" w14:textId="77777777">
        <w:tblPrEx>
          <w:tblCellMar>
            <w:top w:w="0" w:type="dxa"/>
            <w:bottom w:w="0" w:type="dxa"/>
          </w:tblCellMar>
        </w:tblPrEx>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DD727" w14:textId="77777777" w:rsidR="00B51653" w:rsidRDefault="00000000">
            <w:pPr>
              <w:pStyle w:val="ListParagraph"/>
              <w:ind w:left="0"/>
              <w:jc w:val="both"/>
            </w:pPr>
            <w:r>
              <w:t>Design</w:t>
            </w:r>
          </w:p>
        </w:tc>
        <w:tc>
          <w:tcPr>
            <w:tcW w:w="6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3C810" w14:textId="77777777" w:rsidR="00B51653" w:rsidRDefault="00000000">
            <w:pPr>
              <w:pStyle w:val="ListParagraph"/>
              <w:numPr>
                <w:ilvl w:val="0"/>
                <w:numId w:val="2"/>
              </w:numPr>
            </w:pPr>
            <w:r>
              <w:t>How do you plan to engage your LC members to collaborate in exploring, discussing and addressing the issue of concern?</w:t>
            </w:r>
          </w:p>
          <w:p w14:paraId="2D2EDFEF" w14:textId="77777777" w:rsidR="00B51653" w:rsidRDefault="00000000">
            <w:pPr>
              <w:pStyle w:val="ListParagraph"/>
              <w:numPr>
                <w:ilvl w:val="0"/>
                <w:numId w:val="2"/>
              </w:numPr>
            </w:pPr>
            <w:r>
              <w:t>How would you organise your activities to ensure LC sustainability?</w:t>
            </w:r>
          </w:p>
          <w:p w14:paraId="7A51B0A8" w14:textId="77777777" w:rsidR="00B51653" w:rsidRDefault="00000000">
            <w:pPr>
              <w:pStyle w:val="ListParagraph"/>
              <w:numPr>
                <w:ilvl w:val="0"/>
                <w:numId w:val="2"/>
              </w:numPr>
              <w:jc w:val="both"/>
            </w:pPr>
            <w:r>
              <w:t>How would you evaluate the success of your Learning Community?</w:t>
            </w:r>
          </w:p>
        </w:tc>
      </w:tr>
      <w:tr w:rsidR="00B51653" w14:paraId="39D0F707" w14:textId="77777777">
        <w:tblPrEx>
          <w:tblCellMar>
            <w:top w:w="0" w:type="dxa"/>
            <w:bottom w:w="0" w:type="dxa"/>
          </w:tblCellMar>
        </w:tblPrEx>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2F520" w14:textId="77777777" w:rsidR="00B51653" w:rsidRDefault="00000000">
            <w:r>
              <w:t xml:space="preserve">Benefit to members </w:t>
            </w:r>
          </w:p>
        </w:tc>
        <w:tc>
          <w:tcPr>
            <w:tcW w:w="6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2B7C6" w14:textId="77777777" w:rsidR="00B51653" w:rsidRDefault="00000000">
            <w:pPr>
              <w:pStyle w:val="ListParagraph"/>
              <w:numPr>
                <w:ilvl w:val="0"/>
                <w:numId w:val="3"/>
              </w:numPr>
              <w:jc w:val="both"/>
            </w:pPr>
            <w:r>
              <w:t>What do you anticipate will be the significance of your learning community for its members?</w:t>
            </w:r>
          </w:p>
        </w:tc>
      </w:tr>
      <w:tr w:rsidR="00B51653" w14:paraId="717A6D16" w14:textId="77777777">
        <w:tblPrEx>
          <w:tblCellMar>
            <w:top w:w="0" w:type="dxa"/>
            <w:bottom w:w="0" w:type="dxa"/>
          </w:tblCellMar>
        </w:tblPrEx>
        <w:trPr>
          <w:trHeight w:val="688"/>
        </w:trPr>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1A80E" w14:textId="77777777" w:rsidR="00B51653" w:rsidRDefault="00000000">
            <w:pPr>
              <w:pStyle w:val="ListParagraph"/>
              <w:ind w:left="0"/>
              <w:jc w:val="both"/>
            </w:pPr>
            <w:r>
              <w:t>Budget usage</w:t>
            </w:r>
          </w:p>
        </w:tc>
        <w:tc>
          <w:tcPr>
            <w:tcW w:w="6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8D2C3" w14:textId="77777777" w:rsidR="00B51653" w:rsidRDefault="00000000">
            <w:pPr>
              <w:pStyle w:val="ListParagraph"/>
              <w:numPr>
                <w:ilvl w:val="0"/>
                <w:numId w:val="3"/>
              </w:numPr>
              <w:jc w:val="both"/>
            </w:pPr>
            <w:r>
              <w:t>How do you make use of the funding to enhance the learning of the members in your community?</w:t>
            </w:r>
          </w:p>
        </w:tc>
      </w:tr>
    </w:tbl>
    <w:p w14:paraId="00B7D4B7" w14:textId="77777777" w:rsidR="00B51653" w:rsidRDefault="00000000">
      <w:pPr>
        <w:rPr>
          <w:b/>
        </w:rPr>
      </w:pPr>
      <w:r>
        <w:rPr>
          <w:b/>
        </w:rPr>
        <w:tab/>
      </w:r>
    </w:p>
    <w:p w14:paraId="27681D5D" w14:textId="77777777" w:rsidR="00B51653" w:rsidRDefault="00000000">
      <w:pPr>
        <w:pStyle w:val="ListParagraph"/>
        <w:numPr>
          <w:ilvl w:val="0"/>
          <w:numId w:val="1"/>
        </w:numPr>
        <w:jc w:val="both"/>
        <w:rPr>
          <w:b/>
        </w:rPr>
      </w:pPr>
      <w:r>
        <w:rPr>
          <w:b/>
        </w:rPr>
        <w:t>Timeline</w:t>
      </w:r>
    </w:p>
    <w:p w14:paraId="603B4B0E" w14:textId="77777777" w:rsidR="00B51653" w:rsidRDefault="00000000">
      <w:pPr>
        <w:pStyle w:val="ListParagraph"/>
        <w:jc w:val="both"/>
      </w:pPr>
      <w:r>
        <w:t xml:space="preserve">The deadline for submission of Learning Community project proposals is </w:t>
      </w:r>
      <w:r>
        <w:rPr>
          <w:b/>
          <w:bCs/>
        </w:rPr>
        <w:t>28 September 2026.</w:t>
      </w:r>
      <w:r>
        <w:t xml:space="preserve"> Applicants should submit their completed proposal form to CTLT using this </w:t>
      </w:r>
      <w:hyperlink r:id="rId7" w:history="1">
        <w:r>
          <w:rPr>
            <w:rStyle w:val="Hyperlink"/>
          </w:rPr>
          <w:t>li</w:t>
        </w:r>
        <w:bookmarkStart w:id="0" w:name="_Hlt238635134"/>
        <w:bookmarkStart w:id="1" w:name="_Hlt238635135"/>
        <w:r>
          <w:rPr>
            <w:rStyle w:val="Hyperlink"/>
          </w:rPr>
          <w:t>n</w:t>
        </w:r>
        <w:bookmarkEnd w:id="0"/>
        <w:bookmarkEnd w:id="1"/>
        <w:r>
          <w:rPr>
            <w:rStyle w:val="Hyperlink"/>
          </w:rPr>
          <w:t>k</w:t>
        </w:r>
      </w:hyperlink>
      <w:r>
        <w:t xml:space="preserve">. </w:t>
      </w:r>
    </w:p>
    <w:p w14:paraId="5DBB4E5C" w14:textId="77777777" w:rsidR="00B51653" w:rsidRDefault="00B51653">
      <w:pPr>
        <w:pStyle w:val="ListParagraph"/>
        <w:jc w:val="both"/>
      </w:pPr>
    </w:p>
    <w:p w14:paraId="75BA01BA" w14:textId="77777777" w:rsidR="00B51653" w:rsidRDefault="00000000">
      <w:pPr>
        <w:pStyle w:val="ListParagraph"/>
        <w:jc w:val="both"/>
        <w:rPr>
          <w:b/>
          <w:bCs/>
          <w:u w:val="single"/>
        </w:rPr>
      </w:pPr>
      <w:r>
        <w:rPr>
          <w:b/>
          <w:bCs/>
          <w:u w:val="single"/>
        </w:rPr>
        <w:t>Important dates:</w:t>
      </w:r>
    </w:p>
    <w:p w14:paraId="7BE12265" w14:textId="77777777" w:rsidR="00B51653" w:rsidRDefault="00B51653">
      <w:pPr>
        <w:pStyle w:val="ListParagraph"/>
        <w:jc w:val="both"/>
      </w:pPr>
    </w:p>
    <w:tbl>
      <w:tblPr>
        <w:tblW w:w="8211" w:type="dxa"/>
        <w:tblInd w:w="720" w:type="dxa"/>
        <w:tblCellMar>
          <w:left w:w="10" w:type="dxa"/>
          <w:right w:w="10" w:type="dxa"/>
        </w:tblCellMar>
        <w:tblLook w:val="04A0" w:firstRow="1" w:lastRow="0" w:firstColumn="1" w:lastColumn="0" w:noHBand="0" w:noVBand="1"/>
      </w:tblPr>
      <w:tblGrid>
        <w:gridCol w:w="3391"/>
        <w:gridCol w:w="3260"/>
        <w:gridCol w:w="1560"/>
      </w:tblGrid>
      <w:tr w:rsidR="00B51653" w14:paraId="42D52EB4" w14:textId="77777777">
        <w:tblPrEx>
          <w:tblCellMar>
            <w:top w:w="0" w:type="dxa"/>
            <w:bottom w:w="0" w:type="dxa"/>
          </w:tblCellMar>
        </w:tblPrEx>
        <w:trPr>
          <w:trHeight w:val="300"/>
        </w:trPr>
        <w:tc>
          <w:tcPr>
            <w:tcW w:w="3391" w:type="dxa"/>
            <w:tcMar>
              <w:top w:w="0" w:type="dxa"/>
              <w:left w:w="108" w:type="dxa"/>
              <w:bottom w:w="0" w:type="dxa"/>
              <w:right w:w="108" w:type="dxa"/>
            </w:tcMar>
          </w:tcPr>
          <w:p w14:paraId="06F17734" w14:textId="77777777" w:rsidR="00B51653" w:rsidRDefault="00000000">
            <w:pPr>
              <w:spacing w:line="244" w:lineRule="auto"/>
              <w:jc w:val="center"/>
              <w:rPr>
                <w:b/>
              </w:rPr>
            </w:pPr>
            <w:r>
              <w:rPr>
                <w:b/>
              </w:rPr>
              <w:t>Event/Venue</w:t>
            </w:r>
          </w:p>
        </w:tc>
        <w:tc>
          <w:tcPr>
            <w:tcW w:w="3260" w:type="dxa"/>
            <w:tcMar>
              <w:top w:w="0" w:type="dxa"/>
              <w:left w:w="108" w:type="dxa"/>
              <w:bottom w:w="0" w:type="dxa"/>
              <w:right w:w="108" w:type="dxa"/>
            </w:tcMar>
          </w:tcPr>
          <w:p w14:paraId="7876B8C4" w14:textId="77777777" w:rsidR="00B51653" w:rsidRDefault="00000000">
            <w:pPr>
              <w:pStyle w:val="ListParagraph"/>
              <w:ind w:left="0"/>
              <w:jc w:val="center"/>
              <w:rPr>
                <w:b/>
                <w:bCs/>
              </w:rPr>
            </w:pPr>
            <w:r>
              <w:rPr>
                <w:b/>
                <w:bCs/>
              </w:rPr>
              <w:t>Date</w:t>
            </w:r>
          </w:p>
        </w:tc>
        <w:tc>
          <w:tcPr>
            <w:tcW w:w="1560" w:type="dxa"/>
            <w:tcMar>
              <w:top w:w="0" w:type="dxa"/>
              <w:left w:w="10" w:type="dxa"/>
              <w:bottom w:w="0" w:type="dxa"/>
              <w:right w:w="10" w:type="dxa"/>
            </w:tcMar>
          </w:tcPr>
          <w:p w14:paraId="7D9B1DDA" w14:textId="77777777" w:rsidR="00B51653" w:rsidRDefault="00000000">
            <w:pPr>
              <w:pStyle w:val="ListParagraph"/>
              <w:ind w:left="0"/>
              <w:jc w:val="center"/>
              <w:rPr>
                <w:b/>
                <w:bCs/>
              </w:rPr>
            </w:pPr>
            <w:r>
              <w:rPr>
                <w:b/>
                <w:bCs/>
              </w:rPr>
              <w:t>Time</w:t>
            </w:r>
          </w:p>
        </w:tc>
      </w:tr>
      <w:tr w:rsidR="00B51653" w14:paraId="53C58021" w14:textId="77777777">
        <w:tblPrEx>
          <w:tblCellMar>
            <w:top w:w="0" w:type="dxa"/>
            <w:bottom w:w="0" w:type="dxa"/>
          </w:tblCellMar>
        </w:tblPrEx>
        <w:trPr>
          <w:trHeight w:val="537"/>
        </w:trPr>
        <w:tc>
          <w:tcPr>
            <w:tcW w:w="3391" w:type="dxa"/>
            <w:tcMar>
              <w:top w:w="0" w:type="dxa"/>
              <w:left w:w="108" w:type="dxa"/>
              <w:bottom w:w="0" w:type="dxa"/>
              <w:right w:w="108" w:type="dxa"/>
            </w:tcMar>
            <w:vAlign w:val="center"/>
          </w:tcPr>
          <w:p w14:paraId="076D88A2" w14:textId="77777777" w:rsidR="00B51653" w:rsidRDefault="00000000">
            <w:pPr>
              <w:spacing w:line="244" w:lineRule="auto"/>
            </w:pPr>
            <w:r>
              <w:t>Call open for submission</w:t>
            </w:r>
          </w:p>
        </w:tc>
        <w:tc>
          <w:tcPr>
            <w:tcW w:w="3260" w:type="dxa"/>
            <w:tcMar>
              <w:top w:w="0" w:type="dxa"/>
              <w:left w:w="108" w:type="dxa"/>
              <w:bottom w:w="0" w:type="dxa"/>
              <w:right w:w="108" w:type="dxa"/>
            </w:tcMar>
            <w:vAlign w:val="center"/>
          </w:tcPr>
          <w:p w14:paraId="101F6F25" w14:textId="77777777" w:rsidR="00B51653" w:rsidRDefault="00000000">
            <w:pPr>
              <w:pStyle w:val="ListParagraph"/>
              <w:ind w:left="0"/>
              <w:rPr>
                <w:bCs/>
              </w:rPr>
            </w:pPr>
            <w:r>
              <w:rPr>
                <w:bCs/>
              </w:rPr>
              <w:t>9 September 2026 (Tuesday)</w:t>
            </w:r>
          </w:p>
        </w:tc>
        <w:tc>
          <w:tcPr>
            <w:tcW w:w="1560" w:type="dxa"/>
            <w:tcMar>
              <w:top w:w="0" w:type="dxa"/>
              <w:left w:w="10" w:type="dxa"/>
              <w:bottom w:w="0" w:type="dxa"/>
              <w:right w:w="10" w:type="dxa"/>
            </w:tcMar>
            <w:vAlign w:val="center"/>
          </w:tcPr>
          <w:p w14:paraId="20F78C13" w14:textId="77777777" w:rsidR="00B51653" w:rsidRDefault="00000000">
            <w:pPr>
              <w:pStyle w:val="ListParagraph"/>
              <w:ind w:left="0"/>
              <w:jc w:val="center"/>
              <w:rPr>
                <w:b/>
                <w:bCs/>
              </w:rPr>
            </w:pPr>
            <w:r>
              <w:rPr>
                <w:b/>
                <w:bCs/>
              </w:rPr>
              <w:t>-</w:t>
            </w:r>
          </w:p>
        </w:tc>
      </w:tr>
      <w:tr w:rsidR="00B51653" w14:paraId="7B483CDC" w14:textId="77777777">
        <w:tblPrEx>
          <w:tblCellMar>
            <w:top w:w="0" w:type="dxa"/>
            <w:bottom w:w="0" w:type="dxa"/>
          </w:tblCellMar>
        </w:tblPrEx>
        <w:trPr>
          <w:trHeight w:val="431"/>
        </w:trPr>
        <w:tc>
          <w:tcPr>
            <w:tcW w:w="3391" w:type="dxa"/>
            <w:tcMar>
              <w:top w:w="0" w:type="dxa"/>
              <w:left w:w="108" w:type="dxa"/>
              <w:bottom w:w="0" w:type="dxa"/>
              <w:right w:w="108" w:type="dxa"/>
            </w:tcMar>
            <w:vAlign w:val="center"/>
          </w:tcPr>
          <w:p w14:paraId="5AD159EA" w14:textId="77777777" w:rsidR="00B51653" w:rsidRDefault="00000000">
            <w:pPr>
              <w:spacing w:line="244" w:lineRule="auto"/>
            </w:pPr>
            <w:r>
              <w:t>Face-to– face Briefing (Ventus)</w:t>
            </w:r>
          </w:p>
        </w:tc>
        <w:tc>
          <w:tcPr>
            <w:tcW w:w="3260" w:type="dxa"/>
            <w:tcMar>
              <w:top w:w="0" w:type="dxa"/>
              <w:left w:w="108" w:type="dxa"/>
              <w:bottom w:w="0" w:type="dxa"/>
              <w:right w:w="108" w:type="dxa"/>
            </w:tcMar>
            <w:vAlign w:val="center"/>
          </w:tcPr>
          <w:p w14:paraId="2C733D60" w14:textId="77777777" w:rsidR="00B51653" w:rsidRDefault="00000000">
            <w:pPr>
              <w:pStyle w:val="ListParagraph"/>
              <w:ind w:left="0"/>
            </w:pPr>
            <w:r>
              <w:rPr>
                <w:bCs/>
              </w:rPr>
              <w:t>9 September 2026 (Tuesday)</w:t>
            </w:r>
          </w:p>
        </w:tc>
        <w:tc>
          <w:tcPr>
            <w:tcW w:w="1560" w:type="dxa"/>
            <w:tcMar>
              <w:top w:w="0" w:type="dxa"/>
              <w:left w:w="10" w:type="dxa"/>
              <w:bottom w:w="0" w:type="dxa"/>
              <w:right w:w="10" w:type="dxa"/>
            </w:tcMar>
            <w:vAlign w:val="center"/>
          </w:tcPr>
          <w:p w14:paraId="5C065DC5" w14:textId="77777777" w:rsidR="00B51653" w:rsidRDefault="00000000">
            <w:pPr>
              <w:pStyle w:val="ListParagraph"/>
              <w:ind w:left="0"/>
              <w:jc w:val="center"/>
            </w:pPr>
            <w:r>
              <w:t>2pm – 3pm</w:t>
            </w:r>
          </w:p>
        </w:tc>
      </w:tr>
      <w:tr w:rsidR="00B51653" w14:paraId="4F4B393B" w14:textId="77777777">
        <w:tblPrEx>
          <w:tblCellMar>
            <w:top w:w="0" w:type="dxa"/>
            <w:bottom w:w="0" w:type="dxa"/>
          </w:tblCellMar>
        </w:tblPrEx>
        <w:trPr>
          <w:trHeight w:val="551"/>
        </w:trPr>
        <w:tc>
          <w:tcPr>
            <w:tcW w:w="3391" w:type="dxa"/>
            <w:tcMar>
              <w:top w:w="0" w:type="dxa"/>
              <w:left w:w="108" w:type="dxa"/>
              <w:bottom w:w="0" w:type="dxa"/>
              <w:right w:w="108" w:type="dxa"/>
            </w:tcMar>
            <w:vAlign w:val="center"/>
          </w:tcPr>
          <w:p w14:paraId="1D53AC26" w14:textId="77777777" w:rsidR="00B51653" w:rsidRDefault="00000000">
            <w:r>
              <w:t>Deadline for submission</w:t>
            </w:r>
          </w:p>
        </w:tc>
        <w:tc>
          <w:tcPr>
            <w:tcW w:w="3260" w:type="dxa"/>
            <w:tcMar>
              <w:top w:w="0" w:type="dxa"/>
              <w:left w:w="108" w:type="dxa"/>
              <w:bottom w:w="0" w:type="dxa"/>
              <w:right w:w="108" w:type="dxa"/>
            </w:tcMar>
            <w:vAlign w:val="center"/>
          </w:tcPr>
          <w:p w14:paraId="2DFFFAC2" w14:textId="77777777" w:rsidR="00B51653" w:rsidRDefault="00000000">
            <w:pPr>
              <w:pStyle w:val="ListParagraph"/>
              <w:ind w:left="0"/>
            </w:pPr>
            <w:r>
              <w:rPr>
                <w:bCs/>
              </w:rPr>
              <w:t>28 September 2026 (Monday)</w:t>
            </w:r>
          </w:p>
        </w:tc>
        <w:tc>
          <w:tcPr>
            <w:tcW w:w="1560" w:type="dxa"/>
            <w:tcMar>
              <w:top w:w="0" w:type="dxa"/>
              <w:left w:w="10" w:type="dxa"/>
              <w:bottom w:w="0" w:type="dxa"/>
              <w:right w:w="10" w:type="dxa"/>
            </w:tcMar>
            <w:vAlign w:val="center"/>
          </w:tcPr>
          <w:p w14:paraId="5043ACDB" w14:textId="77777777" w:rsidR="00B51653" w:rsidRDefault="00000000">
            <w:pPr>
              <w:pStyle w:val="ListParagraph"/>
              <w:ind w:left="0"/>
              <w:jc w:val="center"/>
            </w:pPr>
            <w:r>
              <w:t xml:space="preserve">23:59 </w:t>
            </w:r>
          </w:p>
        </w:tc>
      </w:tr>
      <w:tr w:rsidR="00B51653" w14:paraId="72D1BCF0" w14:textId="77777777">
        <w:tblPrEx>
          <w:tblCellMar>
            <w:top w:w="0" w:type="dxa"/>
            <w:bottom w:w="0" w:type="dxa"/>
          </w:tblCellMar>
        </w:tblPrEx>
        <w:trPr>
          <w:trHeight w:val="422"/>
        </w:trPr>
        <w:tc>
          <w:tcPr>
            <w:tcW w:w="3391" w:type="dxa"/>
            <w:tcMar>
              <w:top w:w="0" w:type="dxa"/>
              <w:left w:w="108" w:type="dxa"/>
              <w:bottom w:w="0" w:type="dxa"/>
              <w:right w:w="108" w:type="dxa"/>
            </w:tcMar>
            <w:vAlign w:val="center"/>
          </w:tcPr>
          <w:p w14:paraId="13DF66F3" w14:textId="77777777" w:rsidR="00B51653" w:rsidRDefault="00000000">
            <w:pPr>
              <w:pStyle w:val="ListParagraph"/>
              <w:ind w:left="0"/>
            </w:pPr>
            <w:r>
              <w:t>Notification of award</w:t>
            </w:r>
          </w:p>
        </w:tc>
        <w:tc>
          <w:tcPr>
            <w:tcW w:w="3260" w:type="dxa"/>
            <w:tcMar>
              <w:top w:w="0" w:type="dxa"/>
              <w:left w:w="108" w:type="dxa"/>
              <w:bottom w:w="0" w:type="dxa"/>
              <w:right w:w="108" w:type="dxa"/>
            </w:tcMar>
            <w:vAlign w:val="center"/>
          </w:tcPr>
          <w:p w14:paraId="7C7D3BEF" w14:textId="77777777" w:rsidR="00B51653" w:rsidRDefault="00000000">
            <w:pPr>
              <w:pStyle w:val="ListParagraph"/>
              <w:ind w:left="0"/>
              <w:rPr>
                <w:bCs/>
              </w:rPr>
            </w:pPr>
            <w:r>
              <w:rPr>
                <w:bCs/>
              </w:rPr>
              <w:t>5 October 2026 (Monday)</w:t>
            </w:r>
          </w:p>
        </w:tc>
        <w:tc>
          <w:tcPr>
            <w:tcW w:w="1560" w:type="dxa"/>
            <w:tcMar>
              <w:top w:w="0" w:type="dxa"/>
              <w:left w:w="10" w:type="dxa"/>
              <w:bottom w:w="0" w:type="dxa"/>
              <w:right w:w="10" w:type="dxa"/>
            </w:tcMar>
            <w:vAlign w:val="center"/>
          </w:tcPr>
          <w:p w14:paraId="6B7140D9" w14:textId="77777777" w:rsidR="00B51653" w:rsidRDefault="00000000">
            <w:pPr>
              <w:pStyle w:val="ListParagraph"/>
              <w:ind w:left="0"/>
              <w:jc w:val="center"/>
              <w:rPr>
                <w:b/>
                <w:bCs/>
              </w:rPr>
            </w:pPr>
            <w:r>
              <w:rPr>
                <w:b/>
                <w:bCs/>
              </w:rPr>
              <w:t>-</w:t>
            </w:r>
          </w:p>
        </w:tc>
      </w:tr>
      <w:tr w:rsidR="00B51653" w14:paraId="67378828" w14:textId="77777777">
        <w:tblPrEx>
          <w:tblCellMar>
            <w:top w:w="0" w:type="dxa"/>
            <w:bottom w:w="0" w:type="dxa"/>
          </w:tblCellMar>
        </w:tblPrEx>
        <w:tc>
          <w:tcPr>
            <w:tcW w:w="3391" w:type="dxa"/>
            <w:tcMar>
              <w:top w:w="0" w:type="dxa"/>
              <w:left w:w="108" w:type="dxa"/>
              <w:bottom w:w="0" w:type="dxa"/>
              <w:right w:w="108" w:type="dxa"/>
            </w:tcMar>
            <w:vAlign w:val="center"/>
          </w:tcPr>
          <w:p w14:paraId="734A49FB" w14:textId="77777777" w:rsidR="00B51653" w:rsidRDefault="00000000">
            <w:pPr>
              <w:pStyle w:val="ListParagraph"/>
              <w:ind w:left="0"/>
            </w:pPr>
            <w:r>
              <w:t>Kick-off meeting for facilitators (Ventus)</w:t>
            </w:r>
          </w:p>
        </w:tc>
        <w:tc>
          <w:tcPr>
            <w:tcW w:w="3260" w:type="dxa"/>
            <w:tcMar>
              <w:top w:w="0" w:type="dxa"/>
              <w:left w:w="108" w:type="dxa"/>
              <w:bottom w:w="0" w:type="dxa"/>
              <w:right w:w="108" w:type="dxa"/>
            </w:tcMar>
            <w:vAlign w:val="center"/>
          </w:tcPr>
          <w:p w14:paraId="040519B3" w14:textId="77777777" w:rsidR="00B51653" w:rsidRDefault="00000000">
            <w:pPr>
              <w:pStyle w:val="ListParagraph"/>
              <w:ind w:left="0"/>
            </w:pPr>
            <w:r>
              <w:rPr>
                <w:bCs/>
              </w:rPr>
              <w:t>7 October 2026 (Wednesday)</w:t>
            </w:r>
          </w:p>
        </w:tc>
        <w:tc>
          <w:tcPr>
            <w:tcW w:w="1560" w:type="dxa"/>
            <w:tcMar>
              <w:top w:w="0" w:type="dxa"/>
              <w:left w:w="10" w:type="dxa"/>
              <w:bottom w:w="0" w:type="dxa"/>
              <w:right w:w="10" w:type="dxa"/>
            </w:tcMar>
            <w:vAlign w:val="center"/>
          </w:tcPr>
          <w:p w14:paraId="52B790B6" w14:textId="77777777" w:rsidR="00B51653" w:rsidRDefault="00000000">
            <w:pPr>
              <w:pStyle w:val="ListParagraph"/>
              <w:ind w:left="0"/>
              <w:jc w:val="center"/>
            </w:pPr>
            <w:r>
              <w:rPr>
                <w:rFonts w:ascii="Aptos" w:eastAsia="Aptos" w:hAnsi="Aptos" w:cs="Aptos"/>
              </w:rPr>
              <w:t>2pm - 3pm</w:t>
            </w:r>
          </w:p>
        </w:tc>
      </w:tr>
    </w:tbl>
    <w:p w14:paraId="586F51E7" w14:textId="77777777" w:rsidR="00B51653" w:rsidRDefault="00B51653">
      <w:pPr>
        <w:pStyle w:val="ListParagraph"/>
        <w:jc w:val="both"/>
        <w:rPr>
          <w:b/>
        </w:rPr>
      </w:pPr>
    </w:p>
    <w:p w14:paraId="41A5EFEC" w14:textId="77777777" w:rsidR="00B51653" w:rsidRDefault="00000000">
      <w:pPr>
        <w:pStyle w:val="ListParagraph"/>
        <w:numPr>
          <w:ilvl w:val="0"/>
          <w:numId w:val="1"/>
        </w:numPr>
        <w:jc w:val="both"/>
        <w:rPr>
          <w:b/>
        </w:rPr>
      </w:pPr>
      <w:r>
        <w:rPr>
          <w:b/>
        </w:rPr>
        <w:t>Support from CTLT</w:t>
      </w:r>
    </w:p>
    <w:p w14:paraId="15F204E2" w14:textId="77777777" w:rsidR="00B51653" w:rsidRDefault="00000000">
      <w:pPr>
        <w:pStyle w:val="ListParagraph"/>
        <w:jc w:val="both"/>
      </w:pPr>
      <w:r>
        <w:lastRenderedPageBreak/>
        <w:t xml:space="preserve">Facilitators/co-facilitators will need to attend the </w:t>
      </w:r>
      <w:r>
        <w:rPr>
          <w:b/>
          <w:bCs/>
        </w:rPr>
        <w:t>kick-off meeting</w:t>
      </w:r>
      <w:r>
        <w:t xml:space="preserve"> to discuss and develop a proper action plan for their Learning Community. The programme coordinator, Dr Mark Gan, will call for further update meetings of the facilitators during the year and when necessary.</w:t>
      </w:r>
    </w:p>
    <w:p w14:paraId="00B204E8" w14:textId="77777777" w:rsidR="00B51653" w:rsidRDefault="00B51653">
      <w:pPr>
        <w:pStyle w:val="ListParagraph"/>
        <w:jc w:val="both"/>
      </w:pPr>
    </w:p>
    <w:p w14:paraId="4872F19A" w14:textId="77777777" w:rsidR="00B51653" w:rsidRDefault="00000000">
      <w:pPr>
        <w:pStyle w:val="ListParagraph"/>
        <w:numPr>
          <w:ilvl w:val="0"/>
          <w:numId w:val="1"/>
        </w:numPr>
        <w:jc w:val="both"/>
      </w:pPr>
      <w:r>
        <w:rPr>
          <w:b/>
          <w:bCs/>
        </w:rPr>
        <w:t>Expectations</w:t>
      </w:r>
    </w:p>
    <w:p w14:paraId="7CAB790F" w14:textId="77777777" w:rsidR="00B51653" w:rsidRDefault="00000000">
      <w:pPr>
        <w:pStyle w:val="ListParagraph"/>
        <w:jc w:val="both"/>
      </w:pPr>
      <w:r>
        <w:t xml:space="preserve">The TEG Learning Community is expected to meet regularly on an approximately monthly basis over the one-year duration. Although each TEG Learning Community may organise their meetings differently, every group should have a structure and well-defined goals. During meetings, it is expected that facilitators will moderate the sessions by initiating tasks and activities to encourage everyone’s active engagement. During the year, the TEG Learning Community will work towards creating an output that will be of use both to the members of the group and to colleagues in NUS. </w:t>
      </w:r>
      <w:r>
        <w:rPr>
          <w:b/>
          <w:bCs/>
        </w:rPr>
        <w:t>Participants must submit a 6-month progress report (at half-way point for the LC)</w:t>
      </w:r>
      <w:r>
        <w:t xml:space="preserve">. </w:t>
      </w:r>
      <w:r>
        <w:rPr>
          <w:b/>
          <w:bCs/>
        </w:rPr>
        <w:t>At the end of the project, the TEG Learning Community will share what they have learnt with the wider NUS community during the CTLT poster symposium</w:t>
      </w:r>
      <w:r>
        <w:t>.</w:t>
      </w:r>
    </w:p>
    <w:p w14:paraId="59503121" w14:textId="77777777" w:rsidR="00B51653" w:rsidRDefault="00B51653">
      <w:pPr>
        <w:pStyle w:val="ListParagraph"/>
        <w:jc w:val="both"/>
      </w:pPr>
    </w:p>
    <w:p w14:paraId="7479A26A" w14:textId="77777777" w:rsidR="00B51653" w:rsidRDefault="00000000">
      <w:pPr>
        <w:pStyle w:val="ListParagraph"/>
        <w:numPr>
          <w:ilvl w:val="0"/>
          <w:numId w:val="1"/>
        </w:numPr>
        <w:jc w:val="both"/>
        <w:rPr>
          <w:b/>
        </w:rPr>
      </w:pPr>
      <w:r>
        <w:rPr>
          <w:b/>
        </w:rPr>
        <w:t>Use of the Grant</w:t>
      </w:r>
    </w:p>
    <w:p w14:paraId="7958BE21" w14:textId="77777777" w:rsidR="00B51653" w:rsidRDefault="00000000">
      <w:pPr>
        <w:pStyle w:val="ListParagraph"/>
        <w:jc w:val="both"/>
      </w:pPr>
      <w:r>
        <w:t>Funds awarded for TEG Learning Community projects can be used for, amongst other things, the following:</w:t>
      </w:r>
    </w:p>
    <w:p w14:paraId="5C83017B" w14:textId="77777777" w:rsidR="00B51653" w:rsidRDefault="00000000">
      <w:pPr>
        <w:pStyle w:val="ListParagraph"/>
        <w:numPr>
          <w:ilvl w:val="1"/>
          <w:numId w:val="3"/>
        </w:numPr>
        <w:jc w:val="both"/>
      </w:pPr>
      <w:r>
        <w:t>Refreshments for monthly meetings</w:t>
      </w:r>
      <w:r>
        <w:rPr>
          <w:color w:val="000000"/>
        </w:rPr>
        <w:t>;</w:t>
      </w:r>
      <w:r>
        <w:rPr>
          <w:rStyle w:val="FootnoteReference"/>
          <w:color w:val="000000"/>
        </w:rPr>
        <w:footnoteReference w:id="1"/>
      </w:r>
    </w:p>
    <w:p w14:paraId="28DCB183" w14:textId="77777777" w:rsidR="00B51653" w:rsidRDefault="00000000">
      <w:pPr>
        <w:pStyle w:val="ListParagraph"/>
        <w:numPr>
          <w:ilvl w:val="1"/>
          <w:numId w:val="3"/>
        </w:numPr>
        <w:jc w:val="both"/>
      </w:pPr>
      <w:r>
        <w:t>Inviting experts to speak online or when appropriate, on campus;</w:t>
      </w:r>
    </w:p>
    <w:p w14:paraId="3592C2A9" w14:textId="77777777" w:rsidR="00B51653" w:rsidRDefault="00000000">
      <w:pPr>
        <w:pStyle w:val="ListParagraph"/>
        <w:numPr>
          <w:ilvl w:val="1"/>
          <w:numId w:val="3"/>
        </w:numPr>
        <w:jc w:val="both"/>
      </w:pPr>
      <w:r>
        <w:t>Purchasing relevant books, materials and software/online tools;</w:t>
      </w:r>
    </w:p>
    <w:p w14:paraId="5A429F97" w14:textId="77777777" w:rsidR="00B51653" w:rsidRDefault="00000000">
      <w:pPr>
        <w:pStyle w:val="ListParagraph"/>
        <w:numPr>
          <w:ilvl w:val="1"/>
          <w:numId w:val="3"/>
        </w:numPr>
        <w:jc w:val="both"/>
      </w:pPr>
      <w:r>
        <w:t xml:space="preserve">Engaging part-time </w:t>
      </w:r>
      <w:r>
        <w:rPr>
          <w:color w:val="000000"/>
        </w:rPr>
        <w:t xml:space="preserve">student </w:t>
      </w:r>
      <w:r>
        <w:t>research assistance;</w:t>
      </w:r>
      <w:r>
        <w:rPr>
          <w:rStyle w:val="FootnoteReference"/>
        </w:rPr>
        <w:footnoteReference w:id="2"/>
      </w:r>
      <w:r>
        <w:t xml:space="preserve"> and,</w:t>
      </w:r>
    </w:p>
    <w:p w14:paraId="48F147A9" w14:textId="77777777" w:rsidR="00B51653" w:rsidRDefault="00000000">
      <w:pPr>
        <w:pStyle w:val="ListParagraph"/>
        <w:numPr>
          <w:ilvl w:val="1"/>
          <w:numId w:val="3"/>
        </w:numPr>
        <w:jc w:val="both"/>
      </w:pPr>
      <w:r>
        <w:t>Support for attending relevant workshops or conferences</w:t>
      </w:r>
      <w:r>
        <w:rPr>
          <w:rStyle w:val="FootnoteReference"/>
        </w:rPr>
        <w:footnoteReference w:id="3"/>
      </w:r>
      <w:r>
        <w:rPr>
          <w:color w:val="000000"/>
        </w:rPr>
        <w:t>.</w:t>
      </w:r>
    </w:p>
    <w:p w14:paraId="6B56F622" w14:textId="77777777" w:rsidR="00B51653" w:rsidRDefault="00B51653">
      <w:pPr>
        <w:pStyle w:val="ListParagraph"/>
        <w:jc w:val="both"/>
      </w:pPr>
    </w:p>
    <w:p w14:paraId="022D6B18" w14:textId="77777777" w:rsidR="00B51653" w:rsidRDefault="00000000">
      <w:pPr>
        <w:pStyle w:val="ListParagraph"/>
        <w:numPr>
          <w:ilvl w:val="0"/>
          <w:numId w:val="1"/>
        </w:numPr>
        <w:jc w:val="both"/>
        <w:rPr>
          <w:b/>
          <w:lang w:val="en-US"/>
        </w:rPr>
      </w:pPr>
      <w:r>
        <w:rPr>
          <w:b/>
          <w:lang w:val="en-US"/>
        </w:rPr>
        <w:t>Post Award</w:t>
      </w:r>
    </w:p>
    <w:p w14:paraId="23722B32" w14:textId="77777777" w:rsidR="00B51653" w:rsidRDefault="00000000">
      <w:pPr>
        <w:pStyle w:val="ListParagraph"/>
        <w:jc w:val="both"/>
      </w:pPr>
      <w:r>
        <w:t xml:space="preserve">The awarded funds will be provided in a project WBS to be drawn by the Principal Facilitator for the TEG Learning Community project. Principal Facilitators should note that all funds awarded must be utilized in accordance with existing NUS financial guidelines </w:t>
      </w:r>
      <w:r>
        <w:rPr>
          <w:color w:val="000000"/>
        </w:rPr>
        <w:t>and any grant approval guidelines determined by CTLT.</w:t>
      </w:r>
      <w:r>
        <w:rPr>
          <w:rFonts w:cs="Times New Roman"/>
          <w:color w:val="FF0000"/>
        </w:rPr>
        <w:t xml:space="preserve"> </w:t>
      </w:r>
      <w:r>
        <w:rPr>
          <w:rFonts w:cs="Times New Roman"/>
        </w:rPr>
        <w:t>The grant will be valid for the period of one year (</w:t>
      </w:r>
      <w:r>
        <w:rPr>
          <w:rFonts w:cs="Times New Roman"/>
          <w:b/>
          <w:bCs/>
        </w:rPr>
        <w:t>commence with funding is available in WBS account</w:t>
      </w:r>
      <w:r>
        <w:rPr>
          <w:rFonts w:cs="Times New Roman"/>
        </w:rPr>
        <w:t>).</w:t>
      </w:r>
      <w:r>
        <w:rPr>
          <w:rFonts w:cs="Times New Roman"/>
          <w:sz w:val="20"/>
          <w:szCs w:val="20"/>
        </w:rPr>
        <w:t xml:space="preserve">  </w:t>
      </w:r>
    </w:p>
    <w:p w14:paraId="6DEFEED6" w14:textId="77777777" w:rsidR="00B51653" w:rsidRDefault="00B51653">
      <w:pPr>
        <w:pStyle w:val="ListParagraph"/>
        <w:jc w:val="both"/>
        <w:rPr>
          <w:rFonts w:cs="Times New Roman"/>
          <w:sz w:val="20"/>
          <w:szCs w:val="20"/>
        </w:rPr>
      </w:pPr>
    </w:p>
    <w:p w14:paraId="28AA7823" w14:textId="77777777" w:rsidR="00B51653" w:rsidRDefault="00000000">
      <w:pPr>
        <w:pStyle w:val="ListParagraph"/>
        <w:jc w:val="both"/>
      </w:pPr>
      <w:r>
        <w:rPr>
          <w:rFonts w:cs="Times New Roman"/>
        </w:rPr>
        <w:lastRenderedPageBreak/>
        <w:t xml:space="preserve">Approval from CTLT will be sought for </w:t>
      </w:r>
      <w:r>
        <w:rPr>
          <w:rFonts w:cs="Times New Roman"/>
          <w:b/>
          <w:i/>
        </w:rPr>
        <w:t>any project variation</w:t>
      </w:r>
      <w:r>
        <w:rPr>
          <w:rFonts w:cs="Times New Roman"/>
        </w:rPr>
        <w:t xml:space="preserve"> such as budget virement, project extension, etc. </w:t>
      </w:r>
      <w:r>
        <w:rPr>
          <w:color w:val="000000"/>
        </w:rPr>
        <w:t>The Principal Facilitator will submit a final Statement of Account of the project WBS at the end of the TEG Learning Community project. Any unutilized funds in the project WBS will be returned and the project WBS will be closed within 2 months.</w:t>
      </w:r>
      <w:r>
        <w:t xml:space="preserve"> </w:t>
      </w:r>
    </w:p>
    <w:p w14:paraId="2ECF9BE0" w14:textId="77777777" w:rsidR="00B51653" w:rsidRDefault="00B51653">
      <w:pPr>
        <w:pStyle w:val="ListParagraph"/>
        <w:jc w:val="both"/>
      </w:pPr>
    </w:p>
    <w:p w14:paraId="6D9BACF3" w14:textId="77777777" w:rsidR="00B51653" w:rsidRDefault="00000000">
      <w:pPr>
        <w:pStyle w:val="ListParagraph"/>
        <w:numPr>
          <w:ilvl w:val="0"/>
          <w:numId w:val="1"/>
        </w:numPr>
        <w:jc w:val="both"/>
        <w:rPr>
          <w:b/>
          <w:lang w:val="en-US"/>
        </w:rPr>
      </w:pPr>
      <w:r>
        <w:rPr>
          <w:b/>
          <w:lang w:val="en-US"/>
        </w:rPr>
        <w:t>Example of Learning Communities</w:t>
      </w:r>
    </w:p>
    <w:p w14:paraId="0846D88C" w14:textId="77777777" w:rsidR="00B51653" w:rsidRDefault="00000000">
      <w:pPr>
        <w:pStyle w:val="ListParagraph"/>
        <w:jc w:val="both"/>
      </w:pPr>
      <w:r>
        <w:rPr>
          <w:color w:val="000000"/>
        </w:rPr>
        <w:t xml:space="preserve">TEG Learning Communities was started in AY2019/2020.  A list of supported TEG Learning Communities can be found </w:t>
      </w:r>
      <w:hyperlink r:id="rId8" w:history="1">
        <w:r>
          <w:rPr>
            <w:rStyle w:val="Hyperlink"/>
          </w:rPr>
          <w:t>here</w:t>
        </w:r>
      </w:hyperlink>
      <w:r>
        <w:rPr>
          <w:color w:val="000000"/>
        </w:rPr>
        <w:t>.</w:t>
      </w:r>
    </w:p>
    <w:p w14:paraId="20EE267D" w14:textId="77777777" w:rsidR="00B51653" w:rsidRDefault="00B51653">
      <w:pPr>
        <w:pStyle w:val="ListParagraph"/>
        <w:rPr>
          <w:color w:val="000000"/>
        </w:rPr>
      </w:pPr>
    </w:p>
    <w:p w14:paraId="6B4742A7" w14:textId="77777777" w:rsidR="00B51653" w:rsidRDefault="00000000">
      <w:pPr>
        <w:jc w:val="both"/>
      </w:pPr>
      <w:r>
        <w:rPr>
          <w:color w:val="000000"/>
        </w:rPr>
        <w:t xml:space="preserve">If you have any queries, kindly contact Dr Mark Gan: </w:t>
      </w:r>
      <w:hyperlink r:id="rId9" w:history="1">
        <w:r>
          <w:rPr>
            <w:rStyle w:val="Hyperlink"/>
          </w:rPr>
          <w:t>mark.gan@nus.edu.sg</w:t>
        </w:r>
      </w:hyperlink>
      <w:r>
        <w:rPr>
          <w:color w:val="000000"/>
        </w:rPr>
        <w:t xml:space="preserve">  </w:t>
      </w:r>
    </w:p>
    <w:sectPr w:rsidR="00B51653">
      <w:headerReference w:type="default" r:id="rId10"/>
      <w:footerReference w:type="default" r:id="rId1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3FF2" w14:textId="77777777" w:rsidR="00214EF9" w:rsidRDefault="00214EF9">
      <w:r>
        <w:separator/>
      </w:r>
    </w:p>
  </w:endnote>
  <w:endnote w:type="continuationSeparator" w:id="0">
    <w:p w14:paraId="3DC97743" w14:textId="77777777" w:rsidR="00214EF9" w:rsidRDefault="00214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10C9" w14:textId="77777777" w:rsidR="00000000" w:rsidRDefault="00000000">
    <w:pPr>
      <w:pStyle w:val="Footer"/>
      <w:ind w:right="360"/>
    </w:pPr>
    <w:r>
      <w:rPr>
        <w:noProof/>
      </w:rPr>
      <mc:AlternateContent>
        <mc:Choice Requires="wps">
          <w:drawing>
            <wp:anchor distT="0" distB="0" distL="114300" distR="114300" simplePos="0" relativeHeight="251659264" behindDoc="0" locked="0" layoutInCell="1" allowOverlap="1" wp14:anchorId="23927DEF" wp14:editId="45F5FD56">
              <wp:simplePos x="0" y="0"/>
              <wp:positionH relativeFrom="margin">
                <wp:align>right</wp:align>
              </wp:positionH>
              <wp:positionV relativeFrom="paragraph">
                <wp:posOffset>548</wp:posOffset>
              </wp:positionV>
              <wp:extent cx="0" cy="0"/>
              <wp:effectExtent l="0" t="0" r="0" b="0"/>
              <wp:wrapTopAndBottom/>
              <wp:docPr id="942915906"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08398395"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23927DEF" id="_x0000_t202" coordsize="21600,21600" o:spt="202" path="m,l,21600r21600,l21600,xe">
              <v:stroke joinstyle="miter"/>
              <v:path gradientshapeok="t" o:connecttype="rect"/>
            </v:shapetype>
            <v:shape id="Text Box 1" o:spid="_x0000_s1026" type="#_x0000_t202" style="position:absolute;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08398395"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10827" w14:textId="77777777" w:rsidR="00214EF9" w:rsidRDefault="00214EF9">
      <w:r>
        <w:rPr>
          <w:color w:val="000000"/>
        </w:rPr>
        <w:separator/>
      </w:r>
    </w:p>
  </w:footnote>
  <w:footnote w:type="continuationSeparator" w:id="0">
    <w:p w14:paraId="4A77061C" w14:textId="77777777" w:rsidR="00214EF9" w:rsidRDefault="00214EF9">
      <w:r>
        <w:continuationSeparator/>
      </w:r>
    </w:p>
  </w:footnote>
  <w:footnote w:id="1">
    <w:p w14:paraId="090498F9" w14:textId="77777777" w:rsidR="00B51653" w:rsidRDefault="00000000">
      <w:pPr>
        <w:pStyle w:val="FootnoteText"/>
      </w:pPr>
      <w:r>
        <w:rPr>
          <w:rStyle w:val="FootnoteReference"/>
        </w:rPr>
        <w:footnoteRef/>
      </w:r>
      <w:r>
        <w:t xml:space="preserve"> </w:t>
      </w:r>
      <w:r>
        <w:rPr>
          <w:color w:val="000000"/>
        </w:rPr>
        <w:t>No more than $10 per member per meeting. This applies to any non-member participant in LC events.</w:t>
      </w:r>
    </w:p>
    <w:p w14:paraId="106D3BF0" w14:textId="77777777" w:rsidR="00B51653" w:rsidRDefault="00B51653"/>
    <w:p w14:paraId="49A1117F" w14:textId="77777777" w:rsidR="00B51653" w:rsidRDefault="00B51653"/>
    <w:p w14:paraId="43290E87" w14:textId="77777777" w:rsidR="00000000" w:rsidRDefault="00000000"/>
  </w:footnote>
  <w:footnote w:id="2">
    <w:p w14:paraId="191F1F45" w14:textId="77777777" w:rsidR="00B51653" w:rsidRDefault="00000000">
      <w:pPr>
        <w:pStyle w:val="FootnoteText"/>
      </w:pPr>
      <w:r>
        <w:rPr>
          <w:rStyle w:val="FootnoteReference"/>
        </w:rPr>
        <w:footnoteRef/>
      </w:r>
      <w:r>
        <w:t xml:space="preserve"> </w:t>
      </w:r>
      <w:r>
        <w:rPr>
          <w:lang w:val="en-US"/>
        </w:rPr>
        <w:t xml:space="preserve">Please see </w:t>
      </w:r>
      <w:hyperlink r:id="rId1" w:history="1">
        <w:r>
          <w:rPr>
            <w:rStyle w:val="Hyperlink"/>
            <w:lang w:val="en-US"/>
          </w:rPr>
          <w:t>details</w:t>
        </w:r>
      </w:hyperlink>
      <w:r>
        <w:rPr>
          <w:lang w:val="en-US"/>
        </w:rPr>
        <w:t xml:space="preserve"> and the </w:t>
      </w:r>
      <w:hyperlink r:id="rId2" w:history="1">
        <w:r>
          <w:rPr>
            <w:rStyle w:val="Hyperlink"/>
            <w:lang w:val="en-US"/>
          </w:rPr>
          <w:t>recommended hourly rates</w:t>
        </w:r>
      </w:hyperlink>
      <w:r>
        <w:rPr>
          <w:lang w:val="en-US"/>
        </w:rPr>
        <w:t xml:space="preserve"> for the NUS Student Work Scheme (NSWS) for NUS Undergraduate and Graduate Students relevant </w:t>
      </w:r>
      <w:proofErr w:type="gramStart"/>
      <w:r>
        <w:rPr>
          <w:lang w:val="en-US"/>
        </w:rPr>
        <w:t>for</w:t>
      </w:r>
      <w:proofErr w:type="gramEnd"/>
      <w:r>
        <w:rPr>
          <w:lang w:val="en-US"/>
        </w:rPr>
        <w:t xml:space="preserve"> Learning Communities interested in </w:t>
      </w:r>
      <w:proofErr w:type="gramStart"/>
      <w:r>
        <w:rPr>
          <w:lang w:val="en-US"/>
        </w:rPr>
        <w:t>engaging</w:t>
      </w:r>
      <w:proofErr w:type="gramEnd"/>
      <w:r>
        <w:rPr>
          <w:lang w:val="en-US"/>
        </w:rPr>
        <w:t xml:space="preserve"> research assistance </w:t>
      </w:r>
    </w:p>
    <w:p w14:paraId="59FF65D1" w14:textId="77777777" w:rsidR="00B51653" w:rsidRDefault="00B51653"/>
    <w:p w14:paraId="35F1F544" w14:textId="77777777" w:rsidR="00B51653" w:rsidRDefault="00B51653"/>
    <w:p w14:paraId="1E5B1296" w14:textId="77777777" w:rsidR="00000000" w:rsidRDefault="00000000"/>
  </w:footnote>
  <w:footnote w:id="3">
    <w:p w14:paraId="26E4D903" w14:textId="77777777" w:rsidR="00B51653" w:rsidRDefault="00000000">
      <w:pPr>
        <w:pStyle w:val="FootnoteText"/>
      </w:pPr>
      <w:r>
        <w:rPr>
          <w:rStyle w:val="FootnoteReference"/>
        </w:rPr>
        <w:footnoteRef/>
      </w:r>
      <w:r>
        <w:t xml:space="preserve"> Up to a maximum $1,000 and </w:t>
      </w:r>
      <w:r>
        <w:rPr>
          <w:color w:val="000000"/>
        </w:rPr>
        <w:t>subject to CTLT approval</w:t>
      </w:r>
    </w:p>
    <w:p w14:paraId="34661DBC" w14:textId="77777777" w:rsidR="00B51653" w:rsidRDefault="00B51653"/>
    <w:p w14:paraId="4C8F8060" w14:textId="77777777" w:rsidR="00B51653" w:rsidRDefault="00B51653"/>
    <w:p w14:paraId="383CBCDD" w14:textId="77777777" w:rsidR="00000000" w:rsidRDefault="00000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6836" w14:textId="77777777" w:rsidR="00000000" w:rsidRDefault="00000000">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8775A"/>
    <w:multiLevelType w:val="multilevel"/>
    <w:tmpl w:val="F866FFA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61C100FF"/>
    <w:multiLevelType w:val="multilevel"/>
    <w:tmpl w:val="CDB42DA2"/>
    <w:lvl w:ilvl="0">
      <w:start w:val="1"/>
      <w:numFmt w:val="upp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68B77BBC"/>
    <w:multiLevelType w:val="multilevel"/>
    <w:tmpl w:val="5F1655C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62207679">
    <w:abstractNumId w:val="1"/>
  </w:num>
  <w:num w:numId="2" w16cid:durableId="558708812">
    <w:abstractNumId w:val="0"/>
  </w:num>
  <w:num w:numId="3" w16cid:durableId="1169298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51653"/>
    <w:rsid w:val="00214EF9"/>
    <w:rsid w:val="00750200"/>
    <w:rsid w:val="00B51653"/>
    <w:rsid w:val="00D81A8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7B43"/>
  <w15:docId w15:val="{65541F38-83A0-47BB-96FE-8AE2A1FA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SG"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lang w:val="en-GB"/>
    </w:rPr>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styleId="PageNumber">
    <w:name w:val="page number"/>
    <w:basedOn w:val="DefaultParagraphFont"/>
  </w:style>
  <w:style w:type="character" w:styleId="FollowedHyperlink">
    <w:name w:val="FollowedHyperlink"/>
    <w:basedOn w:val="DefaultParagraphFont"/>
    <w:rPr>
      <w:color w:val="954F72"/>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lang w:val="en-GB"/>
    </w:rPr>
  </w:style>
  <w:style w:type="paragraph" w:styleId="FootnoteText">
    <w:name w:val="footnote text"/>
    <w:basedOn w:val="Normal"/>
    <w:rPr>
      <w:sz w:val="20"/>
      <w:szCs w:val="20"/>
    </w:rPr>
  </w:style>
  <w:style w:type="character" w:customStyle="1" w:styleId="FootnoteTextChar">
    <w:name w:val="Footnote Text Char"/>
    <w:basedOn w:val="DefaultParagraphFont"/>
    <w:rPr>
      <w:sz w:val="20"/>
      <w:szCs w:val="20"/>
      <w:lang w:val="en-GB"/>
    </w:rPr>
  </w:style>
  <w:style w:type="character" w:styleId="FootnoteReference">
    <w:name w:val="footnote reference"/>
    <w:basedOn w:val="DefaultParagraphFont"/>
    <w:rPr>
      <w:position w:val="0"/>
      <w:vertAlign w:val="superscript"/>
    </w:rPr>
  </w:style>
  <w:style w:type="character" w:customStyle="1" w:styleId="UnresolvedMention2">
    <w:name w:val="Unresolved Mention2"/>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lang w:val="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paragraph" w:styleId="Revision">
    <w:name w:val="Revision"/>
    <w:pPr>
      <w:suppressAutoHyphens/>
    </w:pPr>
    <w:rPr>
      <w:lang w:val="en-GB"/>
    </w:rPr>
  </w:style>
  <w:style w:type="paragraph" w:customStyle="1" w:styleId="para">
    <w:name w:val="para"/>
    <w:basedOn w:val="Normal"/>
    <w:pPr>
      <w:spacing w:before="100" w:after="100"/>
    </w:pPr>
    <w:rPr>
      <w:rFonts w:ascii="Times New Roman" w:eastAsia="Times New Roman" w:hAnsi="Times New Roman" w:cs="Times New Roman"/>
      <w:lang w:val="en-SG" w:eastAsia="en-GB"/>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tlt.nus.edu.sg/teg/learning-communities/past-teg-learning-community-projec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cloud.microsoft/r/X0qVCQ7rQ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k.gan@nus.edu.s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us.edu.sg/cfg/docs/default-source/students/jobs-internships/annex-b-_working-hours-table_20170317.pdf" TargetMode="External"/><Relationship Id="rId1" Type="http://schemas.openxmlformats.org/officeDocument/2006/relationships/hyperlink" Target="http://www.nus.edu.sg/cfg/employers/post-jo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6009</Characters>
  <Application>Microsoft Office Word</Application>
  <DocSecurity>0</DocSecurity>
  <Lines>50</Lines>
  <Paragraphs>14</Paragraphs>
  <ScaleCrop>false</ScaleCrop>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Adrian Michael</dc:creator>
  <dc:description/>
  <cp:lastModifiedBy>Sushmita Suppiah</cp:lastModifiedBy>
  <cp:revision>2</cp:revision>
  <cp:lastPrinted>2022-11-02T02:52:00Z</cp:lastPrinted>
  <dcterms:created xsi:type="dcterms:W3CDTF">2026-08-26T03:30:00Z</dcterms:created>
  <dcterms:modified xsi:type="dcterms:W3CDTF">2026-08-26T03:30:00Z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7a41a894-24cb-42b9-a740-1071e5b19df6</vt:lpwstr>
  </property>
  <property fmtid="{D5CDD505-2E9C-101B-9397-08002B2CF9AE}" pid="3" name="IsSavedOnce">
    <vt:lpwstr>IsSavedOnceTrue</vt:lpwstr>
  </property>
  <property fmtid="{D5CDD505-2E9C-101B-9397-08002B2CF9AE}" pid="4" name="ExistingClassification">
    <vt:lpwstr>NUS Confidential</vt:lpwstr>
  </property>
  <property fmtid="{D5CDD505-2E9C-101B-9397-08002B2CF9AE}" pid="5" name="ExistingHeaderFooter">
    <vt:lpwstr>None</vt:lpwstr>
  </property>
  <property fmtid="{D5CDD505-2E9C-101B-9397-08002B2CF9AE}" pid="6" name="ContentTypeId">
    <vt:lpwstr>0x0101007112650046CEF54B97AF38AB8C0C9508</vt:lpwstr>
  </property>
  <property fmtid="{D5CDD505-2E9C-101B-9397-08002B2CF9AE}" pid="7" name="MediaServiceImageTags">
    <vt:lpwstr/>
  </property>
  <property fmtid="{D5CDD505-2E9C-101B-9397-08002B2CF9AE}" pid="8" name="docLang">
    <vt:lpwstr>en</vt:lpwstr>
  </property>
  <property fmtid="{D5CDD505-2E9C-101B-9397-08002B2CF9AE}" pid="9" name="CLASSIFICATION">
    <vt:lpwstr>NUS Confidential</vt:lpwstr>
  </property>
  <property fmtid="{D5CDD505-2E9C-101B-9397-08002B2CF9AE}" pid="10" name="TITUSMarking">
    <vt:lpwstr>None</vt:lpwstr>
  </property>
</Properties>
</file>