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A4772" w14:textId="63957741" w:rsidR="009E3615" w:rsidRPr="00473E84" w:rsidRDefault="002C2A8B" w:rsidP="009E3615">
      <w:pPr>
        <w:jc w:val="center"/>
        <w:rPr>
          <w:b/>
        </w:rPr>
      </w:pPr>
      <w:r>
        <w:rPr>
          <w:b/>
        </w:rPr>
        <w:t xml:space="preserve"> </w:t>
      </w:r>
      <w:r w:rsidR="00BC2A76">
        <w:rPr>
          <w:b/>
        </w:rPr>
        <w:t xml:space="preserve">Teaching Enhancement Grant - </w:t>
      </w:r>
      <w:r w:rsidR="009E3615" w:rsidRPr="00473E84">
        <w:rPr>
          <w:b/>
        </w:rPr>
        <w:t>Learning Communities</w:t>
      </w:r>
      <w:r w:rsidR="0076786A">
        <w:rPr>
          <w:b/>
        </w:rPr>
        <w:t xml:space="preserve"> (</w:t>
      </w:r>
      <w:r w:rsidR="00BC2A76">
        <w:rPr>
          <w:b/>
        </w:rPr>
        <w:t>TEG-</w:t>
      </w:r>
      <w:r w:rsidR="0076786A">
        <w:rPr>
          <w:b/>
        </w:rPr>
        <w:t>LC)</w:t>
      </w:r>
      <w:r w:rsidR="009E3615" w:rsidRPr="00473E84">
        <w:rPr>
          <w:b/>
        </w:rPr>
        <w:t xml:space="preserve"> </w:t>
      </w:r>
      <w:r w:rsidR="00835A32" w:rsidRPr="007953C8">
        <w:rPr>
          <w:b/>
        </w:rPr>
        <w:t>FY</w:t>
      </w:r>
      <w:r w:rsidR="009E3615" w:rsidRPr="007953C8">
        <w:rPr>
          <w:b/>
        </w:rPr>
        <w:t xml:space="preserve"> </w:t>
      </w:r>
      <w:r w:rsidR="009E3615" w:rsidRPr="009F554A">
        <w:rPr>
          <w:b/>
          <w:u w:val="single"/>
        </w:rPr>
        <w:t>20</w:t>
      </w:r>
      <w:r w:rsidR="000561BA" w:rsidRPr="009F554A">
        <w:rPr>
          <w:b/>
          <w:u w:val="single"/>
        </w:rPr>
        <w:t>2</w:t>
      </w:r>
      <w:r w:rsidR="00B44673" w:rsidRPr="009F554A">
        <w:rPr>
          <w:b/>
          <w:u w:val="single"/>
        </w:rPr>
        <w:t>3</w:t>
      </w:r>
      <w:r w:rsidR="009E3615" w:rsidRPr="009F554A">
        <w:rPr>
          <w:b/>
          <w:u w:val="single"/>
        </w:rPr>
        <w:t>/202</w:t>
      </w:r>
      <w:r w:rsidR="00B44673" w:rsidRPr="009F554A">
        <w:rPr>
          <w:b/>
          <w:u w:val="single"/>
        </w:rPr>
        <w:t>4</w:t>
      </w:r>
    </w:p>
    <w:p w14:paraId="5173E0B1" w14:textId="77777777" w:rsidR="009E3615" w:rsidRPr="00473E84" w:rsidRDefault="009E3615" w:rsidP="009E3615">
      <w:pPr>
        <w:jc w:val="center"/>
      </w:pPr>
      <w:r w:rsidRPr="00473E84">
        <w:rPr>
          <w:b/>
        </w:rPr>
        <w:t>Call for Proposals</w:t>
      </w:r>
    </w:p>
    <w:p w14:paraId="657FBEF0" w14:textId="77777777" w:rsidR="00387806" w:rsidRPr="00473E84" w:rsidRDefault="00387806" w:rsidP="00923324">
      <w:pPr>
        <w:jc w:val="both"/>
      </w:pPr>
    </w:p>
    <w:p w14:paraId="70CCF8D1" w14:textId="77777777" w:rsidR="00387806" w:rsidRPr="00473E84" w:rsidRDefault="00387806" w:rsidP="00923324">
      <w:pPr>
        <w:pStyle w:val="ListParagraph"/>
        <w:numPr>
          <w:ilvl w:val="0"/>
          <w:numId w:val="1"/>
        </w:numPr>
        <w:jc w:val="both"/>
        <w:rPr>
          <w:b/>
        </w:rPr>
      </w:pPr>
      <w:r w:rsidRPr="00473E84">
        <w:rPr>
          <w:b/>
        </w:rPr>
        <w:t>Purpose</w:t>
      </w:r>
    </w:p>
    <w:p w14:paraId="0A200FC7" w14:textId="0EE9EAAB" w:rsidR="007B741D" w:rsidRDefault="009E3615" w:rsidP="009E3615">
      <w:pPr>
        <w:pStyle w:val="ListParagraph"/>
        <w:jc w:val="both"/>
      </w:pPr>
      <w:r>
        <w:t>Teaching Enhancement Grants (TEG)</w:t>
      </w:r>
      <w:r w:rsidR="00387806" w:rsidRPr="00473E84">
        <w:t xml:space="preserve"> provide </w:t>
      </w:r>
      <w:r>
        <w:t>financial</w:t>
      </w:r>
      <w:r w:rsidR="00387806" w:rsidRPr="00473E84">
        <w:t xml:space="preserve"> support for scholarly work to improve </w:t>
      </w:r>
      <w:r>
        <w:t xml:space="preserve">the quality of </w:t>
      </w:r>
      <w:r w:rsidR="00387806" w:rsidRPr="00473E84">
        <w:t>teaching and learning</w:t>
      </w:r>
      <w:r w:rsidR="00AA64F8" w:rsidRPr="00473E84">
        <w:t xml:space="preserve"> at NUS</w:t>
      </w:r>
      <w:r w:rsidR="00387806" w:rsidRPr="00473E84">
        <w:t>. This initiative</w:t>
      </w:r>
      <w:r>
        <w:t>,</w:t>
      </w:r>
      <w:r w:rsidR="00387806" w:rsidRPr="00473E84">
        <w:t xml:space="preserve"> </w:t>
      </w:r>
      <w:r w:rsidR="007B741D">
        <w:t xml:space="preserve">TEG Learning Communities, </w:t>
      </w:r>
      <w:r w:rsidR="00387806" w:rsidRPr="00473E84">
        <w:t xml:space="preserve">seeks to </w:t>
      </w:r>
      <w:r w:rsidRPr="009E3615">
        <w:t>strengthen connections and create supportive networks for teaching</w:t>
      </w:r>
      <w:r w:rsidR="00A61F67">
        <w:t xml:space="preserve"> in</w:t>
      </w:r>
      <w:r w:rsidRPr="009E3615">
        <w:t xml:space="preserve"> NUS</w:t>
      </w:r>
      <w:r>
        <w:t xml:space="preserve"> through the establishment of funded Learning Communities. </w:t>
      </w:r>
    </w:p>
    <w:p w14:paraId="19BEA20D" w14:textId="77777777" w:rsidR="007B741D" w:rsidRDefault="007B741D" w:rsidP="009E3615">
      <w:pPr>
        <w:pStyle w:val="ListParagraph"/>
        <w:jc w:val="both"/>
      </w:pPr>
    </w:p>
    <w:p w14:paraId="02725EE5" w14:textId="4D299970" w:rsidR="009E3615" w:rsidRDefault="007B741D" w:rsidP="009E3615">
      <w:pPr>
        <w:pStyle w:val="ListParagraph"/>
        <w:jc w:val="both"/>
      </w:pPr>
      <w:r>
        <w:t xml:space="preserve">TEG </w:t>
      </w:r>
      <w:r w:rsidR="009E3615" w:rsidRPr="009E3615">
        <w:t xml:space="preserve">Learning Communities </w:t>
      </w:r>
      <w:r w:rsidR="007561D8">
        <w:t xml:space="preserve">(LC) </w:t>
      </w:r>
      <w:r w:rsidR="009E3615" w:rsidRPr="009E3615">
        <w:t>wil</w:t>
      </w:r>
      <w:r w:rsidR="005378C7">
        <w:t>l</w:t>
      </w:r>
      <w:r w:rsidR="009E3615" w:rsidRPr="009E3615">
        <w:t xml:space="preserve"> </w:t>
      </w:r>
      <w:r w:rsidR="009E3615">
        <w:t>engage</w:t>
      </w:r>
      <w:r w:rsidR="009E3615" w:rsidRPr="009E3615">
        <w:t xml:space="preserve"> in focused and sustained discussion</w:t>
      </w:r>
      <w:r w:rsidR="00711054">
        <w:t>s</w:t>
      </w:r>
      <w:r w:rsidR="009E3615" w:rsidRPr="009E3615">
        <w:t xml:space="preserve"> of a topic</w:t>
      </w:r>
      <w:r w:rsidR="00AA1BF9">
        <w:t xml:space="preserve"> related to </w:t>
      </w:r>
      <w:r w:rsidR="00AA1BF9" w:rsidRPr="009E3615">
        <w:t>university teaching</w:t>
      </w:r>
      <w:r w:rsidR="00AA1BF9">
        <w:t>,</w:t>
      </w:r>
      <w:r w:rsidR="009E3615" w:rsidRPr="009E3615">
        <w:t xml:space="preserve"> </w:t>
      </w:r>
      <w:r w:rsidR="00AA1BF9">
        <w:t xml:space="preserve">which is </w:t>
      </w:r>
      <w:r w:rsidR="009E3615" w:rsidRPr="009E3615">
        <w:t>of mutual concern to the group</w:t>
      </w:r>
      <w:r w:rsidR="00AA1BF9">
        <w:t>.</w:t>
      </w:r>
      <w:r w:rsidR="009E3615">
        <w:t xml:space="preserve"> The group </w:t>
      </w:r>
      <w:r w:rsidR="007C0157">
        <w:t>can potentially</w:t>
      </w:r>
      <w:r w:rsidR="009E3615">
        <w:t xml:space="preserve"> comprise</w:t>
      </w:r>
      <w:r w:rsidR="009E3615" w:rsidRPr="009E3615">
        <w:t xml:space="preserve"> of </w:t>
      </w:r>
      <w:r w:rsidR="00711054">
        <w:t>educators</w:t>
      </w:r>
      <w:r w:rsidR="00711054" w:rsidRPr="009E3615">
        <w:t xml:space="preserve"> </w:t>
      </w:r>
      <w:r w:rsidR="009E3615" w:rsidRPr="009E3615">
        <w:t xml:space="preserve">and other </w:t>
      </w:r>
      <w:r w:rsidR="009E3615">
        <w:t xml:space="preserve">interested </w:t>
      </w:r>
      <w:r w:rsidR="009E3615" w:rsidRPr="009E3615">
        <w:t>participants, including where possible</w:t>
      </w:r>
      <w:r w:rsidR="00711054">
        <w:t>,</w:t>
      </w:r>
      <w:r w:rsidR="009E3615" w:rsidRPr="009E3615">
        <w:t xml:space="preserve"> students</w:t>
      </w:r>
      <w:r w:rsidR="00A61F67">
        <w:t xml:space="preserve"> and non-academic staff</w:t>
      </w:r>
      <w:r w:rsidR="009E3615">
        <w:t xml:space="preserve">. Although </w:t>
      </w:r>
      <w:r w:rsidR="007561D8">
        <w:t>the Le</w:t>
      </w:r>
      <w:r w:rsidR="009E3615">
        <w:t xml:space="preserve">arning Communities can take membership from across the institution, projects may want to focus on a topic that is important for a particular Unit, Department or Faculty. That said, </w:t>
      </w:r>
      <w:r w:rsidR="00AA1BF9">
        <w:t>there exists</w:t>
      </w:r>
      <w:r w:rsidR="009E3615">
        <w:t xml:space="preserve"> huge changes </w:t>
      </w:r>
      <w:r w:rsidR="00AA1BF9">
        <w:t xml:space="preserve">which are currently </w:t>
      </w:r>
      <w:r w:rsidR="009E3615">
        <w:t xml:space="preserve">taking place in the Higher Education landscape both locally and internationally, and it is crucial that we consider how these changes may affect </w:t>
      </w:r>
      <w:r w:rsidR="00AA1BF9">
        <w:t>NUS</w:t>
      </w:r>
      <w:r w:rsidR="009E3615">
        <w:t xml:space="preserve">. It is our hope that </w:t>
      </w:r>
      <w:r w:rsidR="00A532FA">
        <w:t xml:space="preserve">these </w:t>
      </w:r>
      <w:r>
        <w:t xml:space="preserve">TEG </w:t>
      </w:r>
      <w:r w:rsidR="009E3615">
        <w:t xml:space="preserve">Learning Communities will provide a space for colleagues to discuss and develop </w:t>
      </w:r>
      <w:r w:rsidR="0082483B">
        <w:t xml:space="preserve">appropriate </w:t>
      </w:r>
      <w:r w:rsidR="009E3615">
        <w:t>solutions to issues that genuinely matter</w:t>
      </w:r>
      <w:r w:rsidR="00AA1BF9">
        <w:t>,</w:t>
      </w:r>
      <w:r w:rsidR="009E3615">
        <w:t xml:space="preserve"> </w:t>
      </w:r>
      <w:r w:rsidR="00AA1BF9">
        <w:t>resulting in</w:t>
      </w:r>
      <w:r w:rsidR="009E3615">
        <w:t xml:space="preserve"> significant </w:t>
      </w:r>
      <w:r w:rsidR="002D0529">
        <w:t xml:space="preserve">positive </w:t>
      </w:r>
      <w:r w:rsidR="009E3615">
        <w:t xml:space="preserve">impact </w:t>
      </w:r>
      <w:r w:rsidR="00EA7255">
        <w:t>on</w:t>
      </w:r>
      <w:r w:rsidR="009E3615">
        <w:t xml:space="preserve"> </w:t>
      </w:r>
      <w:r w:rsidR="00A532FA">
        <w:t xml:space="preserve">university </w:t>
      </w:r>
      <w:r w:rsidR="009E3615">
        <w:t>teaching at NUS.</w:t>
      </w:r>
    </w:p>
    <w:p w14:paraId="78AF1921" w14:textId="77777777" w:rsidR="009E3615" w:rsidRDefault="009E3615" w:rsidP="00923324">
      <w:pPr>
        <w:pStyle w:val="ListParagraph"/>
        <w:jc w:val="both"/>
      </w:pPr>
    </w:p>
    <w:p w14:paraId="7064120E" w14:textId="062C2C3F" w:rsidR="00AA64F8" w:rsidRPr="00473E84" w:rsidRDefault="00AA64F8" w:rsidP="00923324">
      <w:pPr>
        <w:pStyle w:val="ListParagraph"/>
        <w:jc w:val="both"/>
      </w:pPr>
      <w:r w:rsidRPr="00473E84">
        <w:t>T</w:t>
      </w:r>
      <w:r w:rsidR="009E3615">
        <w:t xml:space="preserve">o support the </w:t>
      </w:r>
      <w:r w:rsidR="00886DB7">
        <w:t>above</w:t>
      </w:r>
      <w:r w:rsidR="009E3615">
        <w:t xml:space="preserve">, </w:t>
      </w:r>
      <w:r w:rsidR="007B741D">
        <w:t xml:space="preserve">TEG </w:t>
      </w:r>
      <w:r w:rsidRPr="00473E84">
        <w:t xml:space="preserve">Learning Community </w:t>
      </w:r>
      <w:r w:rsidR="00993C25" w:rsidRPr="00473E84">
        <w:t>grant</w:t>
      </w:r>
      <w:r w:rsidR="009E3615">
        <w:t>s</w:t>
      </w:r>
      <w:r w:rsidR="00993C25" w:rsidRPr="00473E84">
        <w:t xml:space="preserve"> will provide financial assistance for 1 year for a maximum of $</w:t>
      </w:r>
      <w:r w:rsidR="000561BA">
        <w:t>6</w:t>
      </w:r>
      <w:r w:rsidR="00993C25" w:rsidRPr="00473E84">
        <w:t>,000.</w:t>
      </w:r>
    </w:p>
    <w:p w14:paraId="4A1598CC" w14:textId="77777777" w:rsidR="00636FEB" w:rsidRPr="00473E84" w:rsidRDefault="00636FEB" w:rsidP="00923324">
      <w:pPr>
        <w:pStyle w:val="ListParagraph"/>
        <w:jc w:val="both"/>
      </w:pPr>
    </w:p>
    <w:p w14:paraId="46999B68" w14:textId="3EDC5872" w:rsidR="006E39F3" w:rsidRPr="000A762B" w:rsidRDefault="006E39F3" w:rsidP="00923324">
      <w:pPr>
        <w:pStyle w:val="ListParagraph"/>
        <w:numPr>
          <w:ilvl w:val="0"/>
          <w:numId w:val="1"/>
        </w:numPr>
        <w:jc w:val="both"/>
        <w:rPr>
          <w:b/>
        </w:rPr>
      </w:pPr>
      <w:r w:rsidRPr="000A762B">
        <w:rPr>
          <w:b/>
        </w:rPr>
        <w:t>Theme</w:t>
      </w:r>
      <w:r w:rsidR="00A61F67" w:rsidRPr="000A762B">
        <w:rPr>
          <w:b/>
        </w:rPr>
        <w:t>s</w:t>
      </w:r>
    </w:p>
    <w:p w14:paraId="7E86B8C8" w14:textId="5AA760A9" w:rsidR="00B350BD" w:rsidRDefault="007561D8" w:rsidP="006E39F3">
      <w:pPr>
        <w:pStyle w:val="ListParagraph"/>
        <w:jc w:val="both"/>
        <w:rPr>
          <w:bCs/>
        </w:rPr>
      </w:pPr>
      <w:r>
        <w:rPr>
          <w:bCs/>
        </w:rPr>
        <w:t xml:space="preserve">The </w:t>
      </w:r>
      <w:r w:rsidRPr="009F554A">
        <w:rPr>
          <w:bCs/>
        </w:rPr>
        <w:t>FY 202</w:t>
      </w:r>
      <w:r w:rsidR="00B44673" w:rsidRPr="009F554A">
        <w:rPr>
          <w:bCs/>
        </w:rPr>
        <w:t>3</w:t>
      </w:r>
      <w:r w:rsidRPr="009F554A">
        <w:rPr>
          <w:bCs/>
        </w:rPr>
        <w:t>/202</w:t>
      </w:r>
      <w:r w:rsidR="00B44673" w:rsidRPr="009F554A">
        <w:rPr>
          <w:bCs/>
        </w:rPr>
        <w:t>4</w:t>
      </w:r>
      <w:r>
        <w:rPr>
          <w:bCs/>
        </w:rPr>
        <w:t xml:space="preserve"> TEG Learning Community grant call </w:t>
      </w:r>
      <w:r w:rsidR="00B350BD" w:rsidRPr="007561D8">
        <w:rPr>
          <w:bCs/>
        </w:rPr>
        <w:t>invite</w:t>
      </w:r>
      <w:r>
        <w:rPr>
          <w:bCs/>
        </w:rPr>
        <w:t>s</w:t>
      </w:r>
      <w:r w:rsidR="00B350BD" w:rsidRPr="007561D8">
        <w:rPr>
          <w:bCs/>
        </w:rPr>
        <w:t xml:space="preserve"> proposals </w:t>
      </w:r>
      <w:r>
        <w:rPr>
          <w:bCs/>
        </w:rPr>
        <w:t>that</w:t>
      </w:r>
      <w:r w:rsidR="00B350BD" w:rsidRPr="007561D8">
        <w:rPr>
          <w:bCs/>
        </w:rPr>
        <w:t xml:space="preserve"> address either of the following themes:</w:t>
      </w:r>
    </w:p>
    <w:p w14:paraId="1CE451DB" w14:textId="02787198" w:rsidR="00B350BD" w:rsidRDefault="00B350BD" w:rsidP="006E39F3">
      <w:pPr>
        <w:pStyle w:val="ListParagraph"/>
        <w:jc w:val="both"/>
        <w:rPr>
          <w:bCs/>
        </w:rPr>
      </w:pPr>
    </w:p>
    <w:p w14:paraId="61AA8273" w14:textId="2A503E40" w:rsidR="00B350BD" w:rsidRPr="00265B46" w:rsidRDefault="00B350BD" w:rsidP="00954D4B">
      <w:pPr>
        <w:pStyle w:val="ListParagraph"/>
        <w:numPr>
          <w:ilvl w:val="0"/>
          <w:numId w:val="4"/>
        </w:numPr>
        <w:jc w:val="both"/>
        <w:rPr>
          <w:bCs/>
          <w:u w:val="single"/>
        </w:rPr>
      </w:pPr>
      <w:r w:rsidRPr="00265B46">
        <w:rPr>
          <w:bCs/>
          <w:u w:val="single"/>
        </w:rPr>
        <w:t>Interdisciplinary Education</w:t>
      </w:r>
      <w:r w:rsidR="00FC2387" w:rsidRPr="00265B46">
        <w:rPr>
          <w:bCs/>
          <w:u w:val="single"/>
        </w:rPr>
        <w:t xml:space="preserve"> (IE)</w:t>
      </w:r>
    </w:p>
    <w:p w14:paraId="401F63E9" w14:textId="3235D2AA" w:rsidR="006D24D7" w:rsidRDefault="00B350BD" w:rsidP="00954D4B">
      <w:pPr>
        <w:ind w:left="1080"/>
        <w:jc w:val="both"/>
        <w:rPr>
          <w:rFonts w:eastAsia="Times New Roman" w:cstheme="minorHAnsi"/>
          <w:lang w:val="en-SG" w:eastAsia="en-GB"/>
        </w:rPr>
      </w:pPr>
      <w:r w:rsidRPr="00265B46">
        <w:rPr>
          <w:rFonts w:eastAsia="Times New Roman" w:cstheme="minorHAnsi"/>
          <w:lang w:val="en-SG" w:eastAsia="en-GB"/>
        </w:rPr>
        <w:t xml:space="preserve">NUS </w:t>
      </w:r>
      <w:r w:rsidR="006D24D7" w:rsidRPr="00265B46">
        <w:rPr>
          <w:rFonts w:eastAsia="Times New Roman" w:cstheme="minorHAnsi"/>
          <w:lang w:val="en-SG" w:eastAsia="en-GB"/>
        </w:rPr>
        <w:t xml:space="preserve">started </w:t>
      </w:r>
      <w:r w:rsidRPr="00265B46">
        <w:rPr>
          <w:rFonts w:eastAsia="Times New Roman" w:cstheme="minorHAnsi"/>
          <w:lang w:val="en-SG" w:eastAsia="en-GB"/>
        </w:rPr>
        <w:t>spearhea</w:t>
      </w:r>
      <w:r w:rsidR="006D24D7" w:rsidRPr="00265B46">
        <w:rPr>
          <w:rFonts w:eastAsia="Times New Roman" w:cstheme="minorHAnsi"/>
          <w:lang w:val="en-SG" w:eastAsia="en-GB"/>
        </w:rPr>
        <w:t xml:space="preserve">ding </w:t>
      </w:r>
      <w:r w:rsidRPr="00265B46">
        <w:rPr>
          <w:rFonts w:eastAsia="Times New Roman" w:cstheme="minorHAnsi"/>
          <w:lang w:val="en-SG" w:eastAsia="en-GB"/>
        </w:rPr>
        <w:t>integrative, interdisciplinary education</w:t>
      </w:r>
      <w:r w:rsidR="006D24D7" w:rsidRPr="00265B46">
        <w:rPr>
          <w:rFonts w:eastAsia="Times New Roman" w:cstheme="minorHAnsi"/>
          <w:lang w:val="en-SG" w:eastAsia="en-GB"/>
        </w:rPr>
        <w:t xml:space="preserve"> since Aug 2021</w:t>
      </w:r>
      <w:r w:rsidRPr="00265B46">
        <w:rPr>
          <w:rFonts w:eastAsia="Times New Roman" w:cstheme="minorHAnsi"/>
          <w:lang w:val="en-SG" w:eastAsia="en-GB"/>
        </w:rPr>
        <w:t xml:space="preserve">. The emphasis on interdisciplinary studies </w:t>
      </w:r>
      <w:r w:rsidR="006D24D7" w:rsidRPr="00265B46">
        <w:rPr>
          <w:rFonts w:eastAsia="Times New Roman" w:cstheme="minorHAnsi"/>
          <w:lang w:val="en-SG" w:eastAsia="en-GB"/>
        </w:rPr>
        <w:t xml:space="preserve">is one of the </w:t>
      </w:r>
      <w:r w:rsidRPr="00265B46">
        <w:rPr>
          <w:rFonts w:eastAsia="Times New Roman" w:cstheme="minorHAnsi"/>
          <w:lang w:val="en-SG" w:eastAsia="en-GB"/>
        </w:rPr>
        <w:t>key</w:t>
      </w:r>
      <w:r w:rsidR="006D24D7" w:rsidRPr="00265B46">
        <w:rPr>
          <w:rFonts w:eastAsia="Times New Roman" w:cstheme="minorHAnsi"/>
          <w:lang w:val="en-SG" w:eastAsia="en-GB"/>
        </w:rPr>
        <w:t>s</w:t>
      </w:r>
      <w:r w:rsidRPr="00265B46">
        <w:rPr>
          <w:rFonts w:eastAsia="Times New Roman" w:cstheme="minorHAnsi"/>
          <w:lang w:val="en-SG" w:eastAsia="en-GB"/>
        </w:rPr>
        <w:t xml:space="preserve"> to </w:t>
      </w:r>
      <w:r w:rsidR="006D24D7" w:rsidRPr="00265B46">
        <w:rPr>
          <w:rFonts w:eastAsia="Times New Roman" w:cstheme="minorHAnsi"/>
          <w:lang w:val="en-SG" w:eastAsia="en-GB"/>
        </w:rPr>
        <w:t>NUS’</w:t>
      </w:r>
      <w:r w:rsidRPr="00265B46">
        <w:rPr>
          <w:rFonts w:eastAsia="Times New Roman" w:cstheme="minorHAnsi"/>
          <w:lang w:val="en-SG" w:eastAsia="en-GB"/>
        </w:rPr>
        <w:t xml:space="preserve"> mission of shaping the future of education as a world-class university</w:t>
      </w:r>
      <w:r w:rsidR="00954D4B" w:rsidRPr="00265B46">
        <w:rPr>
          <w:rFonts w:eastAsia="Times New Roman" w:cstheme="minorHAnsi"/>
          <w:lang w:val="en-SG" w:eastAsia="en-GB"/>
        </w:rPr>
        <w:t xml:space="preserve"> </w:t>
      </w:r>
      <w:r w:rsidR="00A464C2" w:rsidRPr="00265B46">
        <w:rPr>
          <w:rFonts w:eastAsia="Times New Roman" w:cstheme="minorHAnsi"/>
          <w:lang w:val="en-SG" w:eastAsia="en-GB"/>
        </w:rPr>
        <w:t xml:space="preserve">and it </w:t>
      </w:r>
      <w:r w:rsidR="00954D4B" w:rsidRPr="00265B46">
        <w:rPr>
          <w:rFonts w:eastAsia="Times New Roman" w:cstheme="minorHAnsi"/>
          <w:lang w:val="en-SG" w:eastAsia="en-GB"/>
        </w:rPr>
        <w:t xml:space="preserve">involves </w:t>
      </w:r>
      <w:r w:rsidRPr="00265B46">
        <w:rPr>
          <w:rFonts w:eastAsia="Times New Roman" w:cstheme="minorHAnsi"/>
          <w:lang w:val="en-SG" w:eastAsia="en-GB"/>
        </w:rPr>
        <w:t xml:space="preserve">changing the way </w:t>
      </w:r>
      <w:r w:rsidR="006D24D7" w:rsidRPr="00265B46">
        <w:rPr>
          <w:rFonts w:eastAsia="Times New Roman" w:cstheme="minorHAnsi"/>
          <w:lang w:val="en-SG" w:eastAsia="en-GB"/>
        </w:rPr>
        <w:t xml:space="preserve">academic teachers </w:t>
      </w:r>
      <w:r w:rsidR="00CB0F4F" w:rsidRPr="00265B46">
        <w:rPr>
          <w:rFonts w:eastAsia="Times New Roman" w:cstheme="minorHAnsi"/>
          <w:lang w:val="en-SG" w:eastAsia="en-GB"/>
        </w:rPr>
        <w:t>approach</w:t>
      </w:r>
      <w:r w:rsidRPr="00265B46">
        <w:rPr>
          <w:rFonts w:eastAsia="Times New Roman" w:cstheme="minorHAnsi"/>
          <w:lang w:val="en-SG" w:eastAsia="en-GB"/>
        </w:rPr>
        <w:t xml:space="preserve"> and deliver education, and </w:t>
      </w:r>
      <w:r w:rsidR="00CB0F4F" w:rsidRPr="00265B46">
        <w:rPr>
          <w:rFonts w:eastAsia="Times New Roman" w:cstheme="minorHAnsi"/>
          <w:lang w:val="en-SG" w:eastAsia="en-GB"/>
        </w:rPr>
        <w:t>transform</w:t>
      </w:r>
      <w:r w:rsidR="00954D4B" w:rsidRPr="00265B46">
        <w:rPr>
          <w:rFonts w:eastAsia="Times New Roman" w:cstheme="minorHAnsi"/>
          <w:lang w:val="en-SG" w:eastAsia="en-GB"/>
        </w:rPr>
        <w:t xml:space="preserve">ing </w:t>
      </w:r>
      <w:r w:rsidRPr="00265B46">
        <w:rPr>
          <w:rFonts w:eastAsia="Times New Roman" w:cstheme="minorHAnsi"/>
          <w:lang w:val="en-SG" w:eastAsia="en-GB"/>
        </w:rPr>
        <w:t>mindset</w:t>
      </w:r>
      <w:r w:rsidR="00954D4B" w:rsidRPr="00265B46">
        <w:rPr>
          <w:rFonts w:eastAsia="Times New Roman" w:cstheme="minorHAnsi"/>
          <w:lang w:val="en-SG" w:eastAsia="en-GB"/>
        </w:rPr>
        <w:t>s</w:t>
      </w:r>
      <w:r w:rsidRPr="00265B46">
        <w:rPr>
          <w:rFonts w:eastAsia="Times New Roman" w:cstheme="minorHAnsi"/>
          <w:lang w:val="en-SG" w:eastAsia="en-GB"/>
        </w:rPr>
        <w:t xml:space="preserve"> to adapt to the needs of the changing world.</w:t>
      </w:r>
      <w:r w:rsidR="006D24D7" w:rsidRPr="00265B46">
        <w:rPr>
          <w:rFonts w:eastAsia="Times New Roman" w:cstheme="minorHAnsi"/>
          <w:lang w:val="en-SG" w:eastAsia="en-GB"/>
        </w:rPr>
        <w:t xml:space="preserve"> This thematic focus encourages TEG Learning Communities to explore </w:t>
      </w:r>
      <w:r w:rsidR="00013B84" w:rsidRPr="00265B46">
        <w:rPr>
          <w:rFonts w:eastAsia="Times New Roman" w:cstheme="minorHAnsi"/>
          <w:lang w:val="en-SG" w:eastAsia="en-GB"/>
        </w:rPr>
        <w:t xml:space="preserve">and deliberate on </w:t>
      </w:r>
      <w:r w:rsidR="006D24D7" w:rsidRPr="00265B46">
        <w:rPr>
          <w:rFonts w:eastAsia="Times New Roman" w:cstheme="minorHAnsi"/>
          <w:lang w:val="en-SG" w:eastAsia="en-GB"/>
        </w:rPr>
        <w:t>teaching and learning practices related to interdisciplinary education.</w:t>
      </w:r>
      <w:r w:rsidR="006D24D7">
        <w:rPr>
          <w:rFonts w:eastAsia="Times New Roman" w:cstheme="minorHAnsi"/>
          <w:lang w:val="en-SG" w:eastAsia="en-GB"/>
        </w:rPr>
        <w:t xml:space="preserve"> </w:t>
      </w:r>
    </w:p>
    <w:p w14:paraId="736D5D8A" w14:textId="14453A36" w:rsidR="00B350BD" w:rsidRDefault="00B350BD" w:rsidP="00B350BD">
      <w:pPr>
        <w:jc w:val="both"/>
        <w:rPr>
          <w:bCs/>
        </w:rPr>
      </w:pPr>
    </w:p>
    <w:p w14:paraId="46434193" w14:textId="35363370" w:rsidR="00A900C2" w:rsidRPr="009F554A" w:rsidRDefault="00FA63BB" w:rsidP="007561D8">
      <w:pPr>
        <w:pStyle w:val="ListParagraph"/>
        <w:numPr>
          <w:ilvl w:val="0"/>
          <w:numId w:val="4"/>
        </w:numPr>
        <w:jc w:val="both"/>
        <w:rPr>
          <w:bCs/>
          <w:u w:val="single"/>
        </w:rPr>
      </w:pPr>
      <w:r w:rsidRPr="009F554A">
        <w:rPr>
          <w:bCs/>
          <w:u w:val="single"/>
        </w:rPr>
        <w:t>Generative Artificial Intelligence (AI) in Education</w:t>
      </w:r>
    </w:p>
    <w:p w14:paraId="2A160B71" w14:textId="433D6DBB" w:rsidR="00A61F67" w:rsidRPr="00265B46" w:rsidRDefault="0016190B" w:rsidP="00FA63BB">
      <w:pPr>
        <w:pStyle w:val="para"/>
        <w:shd w:val="clear" w:color="auto" w:fill="FFFFFF"/>
        <w:spacing w:before="0" w:beforeAutospacing="0" w:after="150" w:afterAutospacing="0"/>
        <w:ind w:left="1080"/>
        <w:jc w:val="both"/>
        <w:rPr>
          <w:rFonts w:asciiTheme="minorHAnsi" w:hAnsiTheme="minorHAnsi" w:cstheme="minorHAnsi"/>
          <w:color w:val="333333"/>
        </w:rPr>
      </w:pPr>
      <w:r w:rsidRPr="009F554A">
        <w:rPr>
          <w:rFonts w:asciiTheme="minorHAnsi" w:hAnsiTheme="minorHAnsi" w:cstheme="minorHAnsi"/>
          <w:color w:val="333333"/>
        </w:rPr>
        <w:t xml:space="preserve">In November 2022, a chatbot that is capable of generating plausible-sounding, </w:t>
      </w:r>
      <w:r w:rsidR="00B06E66" w:rsidRPr="009F554A">
        <w:rPr>
          <w:rFonts w:asciiTheme="minorHAnsi" w:hAnsiTheme="minorHAnsi" w:cstheme="minorHAnsi"/>
          <w:color w:val="333333"/>
        </w:rPr>
        <w:t>human-like</w:t>
      </w:r>
      <w:r w:rsidRPr="009F554A">
        <w:rPr>
          <w:rFonts w:asciiTheme="minorHAnsi" w:hAnsiTheme="minorHAnsi" w:cstheme="minorHAnsi"/>
          <w:color w:val="333333"/>
        </w:rPr>
        <w:t xml:space="preserve"> text </w:t>
      </w:r>
      <w:r w:rsidR="00480FCC" w:rsidRPr="009F554A">
        <w:rPr>
          <w:rFonts w:asciiTheme="minorHAnsi" w:hAnsiTheme="minorHAnsi" w:cstheme="minorHAnsi"/>
          <w:color w:val="333333"/>
        </w:rPr>
        <w:t>through</w:t>
      </w:r>
      <w:r w:rsidRPr="009F554A">
        <w:rPr>
          <w:rFonts w:asciiTheme="minorHAnsi" w:hAnsiTheme="minorHAnsi" w:cstheme="minorHAnsi"/>
          <w:color w:val="333333"/>
        </w:rPr>
        <w:t xml:space="preserve"> user prompt</w:t>
      </w:r>
      <w:r w:rsidR="00480FCC" w:rsidRPr="009F554A">
        <w:rPr>
          <w:rFonts w:asciiTheme="minorHAnsi" w:hAnsiTheme="minorHAnsi" w:cstheme="minorHAnsi"/>
          <w:color w:val="333333"/>
        </w:rPr>
        <w:t>ing</w:t>
      </w:r>
      <w:r w:rsidRPr="009F554A">
        <w:rPr>
          <w:rFonts w:asciiTheme="minorHAnsi" w:hAnsiTheme="minorHAnsi" w:cstheme="minorHAnsi"/>
          <w:color w:val="333333"/>
        </w:rPr>
        <w:t xml:space="preserve"> </w:t>
      </w:r>
      <w:r w:rsidR="00480FCC" w:rsidRPr="009F554A">
        <w:rPr>
          <w:rFonts w:asciiTheme="minorHAnsi" w:hAnsiTheme="minorHAnsi" w:cstheme="minorHAnsi"/>
          <w:color w:val="333333"/>
        </w:rPr>
        <w:t>–</w:t>
      </w:r>
      <w:r w:rsidRPr="009F554A">
        <w:rPr>
          <w:rFonts w:asciiTheme="minorHAnsi" w:hAnsiTheme="minorHAnsi" w:cstheme="minorHAnsi"/>
          <w:color w:val="333333"/>
        </w:rPr>
        <w:t xml:space="preserve"> ChatGPT</w:t>
      </w:r>
      <w:r w:rsidR="00480FCC" w:rsidRPr="009F554A">
        <w:rPr>
          <w:rFonts w:asciiTheme="minorHAnsi" w:hAnsiTheme="minorHAnsi" w:cstheme="minorHAnsi"/>
          <w:color w:val="333333"/>
        </w:rPr>
        <w:t>, was released</w:t>
      </w:r>
      <w:r w:rsidRPr="009F554A">
        <w:rPr>
          <w:rFonts w:asciiTheme="minorHAnsi" w:hAnsiTheme="minorHAnsi" w:cstheme="minorHAnsi"/>
          <w:color w:val="333333"/>
        </w:rPr>
        <w:t xml:space="preserve"> for general public </w:t>
      </w:r>
      <w:r w:rsidR="00480FCC" w:rsidRPr="009F554A">
        <w:rPr>
          <w:rFonts w:asciiTheme="minorHAnsi" w:hAnsiTheme="minorHAnsi" w:cstheme="minorHAnsi"/>
          <w:color w:val="333333"/>
        </w:rPr>
        <w:t xml:space="preserve">testing and </w:t>
      </w:r>
      <w:r w:rsidRPr="009F554A">
        <w:rPr>
          <w:rFonts w:asciiTheme="minorHAnsi" w:hAnsiTheme="minorHAnsi" w:cstheme="minorHAnsi"/>
          <w:color w:val="333333"/>
        </w:rPr>
        <w:t>use</w:t>
      </w:r>
      <w:r w:rsidR="00480FCC" w:rsidRPr="009F554A">
        <w:rPr>
          <w:rFonts w:asciiTheme="minorHAnsi" w:hAnsiTheme="minorHAnsi" w:cstheme="minorHAnsi"/>
          <w:color w:val="333333"/>
        </w:rPr>
        <w:t xml:space="preserve">. The ensuing </w:t>
      </w:r>
      <w:r w:rsidR="00C331BC" w:rsidRPr="009F554A">
        <w:rPr>
          <w:rFonts w:asciiTheme="minorHAnsi" w:hAnsiTheme="minorHAnsi" w:cstheme="minorHAnsi"/>
          <w:color w:val="333333"/>
        </w:rPr>
        <w:t xml:space="preserve">global </w:t>
      </w:r>
      <w:r w:rsidR="00480FCC" w:rsidRPr="009F554A">
        <w:rPr>
          <w:rFonts w:asciiTheme="minorHAnsi" w:hAnsiTheme="minorHAnsi" w:cstheme="minorHAnsi"/>
          <w:color w:val="333333"/>
        </w:rPr>
        <w:t xml:space="preserve">commotion and frantic discourse </w:t>
      </w:r>
      <w:r w:rsidR="00FC5698" w:rsidRPr="009F554A">
        <w:rPr>
          <w:rFonts w:asciiTheme="minorHAnsi" w:hAnsiTheme="minorHAnsi" w:cstheme="minorHAnsi"/>
          <w:color w:val="333333"/>
        </w:rPr>
        <w:t xml:space="preserve">in education </w:t>
      </w:r>
      <w:r w:rsidR="00480FCC" w:rsidRPr="009F554A">
        <w:rPr>
          <w:rFonts w:asciiTheme="minorHAnsi" w:hAnsiTheme="minorHAnsi" w:cstheme="minorHAnsi"/>
          <w:color w:val="333333"/>
        </w:rPr>
        <w:t xml:space="preserve">have focused on how it will affect </w:t>
      </w:r>
      <w:r w:rsidR="00FC5698" w:rsidRPr="009F554A">
        <w:rPr>
          <w:rFonts w:asciiTheme="minorHAnsi" w:hAnsiTheme="minorHAnsi" w:cstheme="minorHAnsi"/>
          <w:color w:val="333333"/>
        </w:rPr>
        <w:t>the way we teach and learn</w:t>
      </w:r>
      <w:r w:rsidR="00480FCC" w:rsidRPr="009F554A">
        <w:rPr>
          <w:rFonts w:asciiTheme="minorHAnsi" w:hAnsiTheme="minorHAnsi" w:cstheme="minorHAnsi"/>
          <w:color w:val="333333"/>
        </w:rPr>
        <w:t xml:space="preserve">. </w:t>
      </w:r>
      <w:r w:rsidR="00C331BC" w:rsidRPr="009F554A">
        <w:rPr>
          <w:rFonts w:asciiTheme="minorHAnsi" w:hAnsiTheme="minorHAnsi" w:cstheme="minorHAnsi"/>
          <w:color w:val="333333"/>
        </w:rPr>
        <w:t xml:space="preserve">What is generative AI? How will AI change higher education? Will ChatGPT promote or hinder creativity, critical thinking and </w:t>
      </w:r>
      <w:r w:rsidR="002A17D7" w:rsidRPr="009F554A">
        <w:rPr>
          <w:rFonts w:asciiTheme="minorHAnsi" w:hAnsiTheme="minorHAnsi" w:cstheme="minorHAnsi"/>
          <w:color w:val="333333"/>
        </w:rPr>
        <w:t>authenticity</w:t>
      </w:r>
      <w:r w:rsidR="00C331BC" w:rsidRPr="009F554A">
        <w:rPr>
          <w:rFonts w:asciiTheme="minorHAnsi" w:hAnsiTheme="minorHAnsi" w:cstheme="minorHAnsi"/>
          <w:color w:val="333333"/>
        </w:rPr>
        <w:t>?</w:t>
      </w:r>
      <w:r w:rsidR="002A17D7" w:rsidRPr="009F554A">
        <w:rPr>
          <w:rFonts w:asciiTheme="minorHAnsi" w:hAnsiTheme="minorHAnsi" w:cstheme="minorHAnsi"/>
          <w:color w:val="333333"/>
        </w:rPr>
        <w:t xml:space="preserve"> How to design assessments or assignments in a ChatGPT age? All these and many more questions offer a great opportunity for TEG Learning Communities</w:t>
      </w:r>
      <w:r w:rsidR="00CD2EDE" w:rsidRPr="009F554A">
        <w:rPr>
          <w:rFonts w:asciiTheme="minorHAnsi" w:hAnsiTheme="minorHAnsi" w:cstheme="minorHAnsi"/>
          <w:color w:val="333333"/>
        </w:rPr>
        <w:t>,</w:t>
      </w:r>
      <w:r w:rsidR="002A17D7" w:rsidRPr="009F554A">
        <w:rPr>
          <w:rFonts w:asciiTheme="minorHAnsi" w:hAnsiTheme="minorHAnsi" w:cstheme="minorHAnsi"/>
          <w:color w:val="333333"/>
        </w:rPr>
        <w:t xml:space="preserve"> to </w:t>
      </w:r>
      <w:r w:rsidR="00FC5698" w:rsidRPr="009F554A">
        <w:rPr>
          <w:rFonts w:asciiTheme="minorHAnsi" w:hAnsiTheme="minorHAnsi" w:cstheme="minorHAnsi"/>
          <w:color w:val="333333"/>
        </w:rPr>
        <w:t xml:space="preserve">explore the complex landscape of </w:t>
      </w:r>
      <w:r w:rsidR="00FC5698" w:rsidRPr="009F554A">
        <w:rPr>
          <w:rFonts w:asciiTheme="minorHAnsi" w:hAnsiTheme="minorHAnsi" w:cstheme="minorHAnsi"/>
          <w:color w:val="333333"/>
        </w:rPr>
        <w:lastRenderedPageBreak/>
        <w:t>AI in higher education, and to shed light on a way forward - to harness its potential as well as to avoid the pitfalls.</w:t>
      </w:r>
    </w:p>
    <w:p w14:paraId="4F833F0E" w14:textId="77777777" w:rsidR="000A762B" w:rsidRPr="000A762B" w:rsidRDefault="000A762B" w:rsidP="000A762B">
      <w:pPr>
        <w:pStyle w:val="para"/>
        <w:shd w:val="clear" w:color="auto" w:fill="FFFFFF"/>
        <w:spacing w:before="0" w:beforeAutospacing="0" w:after="150" w:afterAutospacing="0"/>
        <w:ind w:left="1440"/>
        <w:jc w:val="both"/>
        <w:rPr>
          <w:rFonts w:asciiTheme="minorHAnsi" w:hAnsiTheme="minorHAnsi" w:cstheme="minorHAnsi"/>
          <w:color w:val="333333"/>
          <w:sz w:val="10"/>
          <w:szCs w:val="10"/>
        </w:rPr>
      </w:pPr>
    </w:p>
    <w:p w14:paraId="71E4FF3A" w14:textId="4C8E44A2" w:rsidR="00A61F67" w:rsidRPr="00954D4B" w:rsidRDefault="00A61F67" w:rsidP="00A61F67">
      <w:pPr>
        <w:pStyle w:val="ListParagraph"/>
        <w:numPr>
          <w:ilvl w:val="0"/>
          <w:numId w:val="4"/>
        </w:numPr>
        <w:jc w:val="both"/>
        <w:rPr>
          <w:bCs/>
          <w:u w:val="single"/>
        </w:rPr>
      </w:pPr>
      <w:r>
        <w:rPr>
          <w:bCs/>
          <w:u w:val="single"/>
        </w:rPr>
        <w:t>Open Category</w:t>
      </w:r>
    </w:p>
    <w:p w14:paraId="6B5169BE" w14:textId="581ADAB8" w:rsidR="00B350BD" w:rsidRPr="007561D8" w:rsidRDefault="00954D4B" w:rsidP="001C394C">
      <w:pPr>
        <w:pStyle w:val="ListParagraph"/>
        <w:ind w:left="1080"/>
        <w:jc w:val="both"/>
        <w:rPr>
          <w:bCs/>
        </w:rPr>
      </w:pPr>
      <w:r>
        <w:rPr>
          <w:bCs/>
        </w:rPr>
        <w:t xml:space="preserve">Proposals that do not address either of the above themes </w:t>
      </w:r>
      <w:r w:rsidR="00FF16BD">
        <w:rPr>
          <w:bCs/>
        </w:rPr>
        <w:t xml:space="preserve">are also welcomed, and </w:t>
      </w:r>
      <w:r>
        <w:rPr>
          <w:bCs/>
        </w:rPr>
        <w:t xml:space="preserve">can be submitted under </w:t>
      </w:r>
      <w:r w:rsidR="00A61F67">
        <w:rPr>
          <w:bCs/>
        </w:rPr>
        <w:t>this category,</w:t>
      </w:r>
      <w:r w:rsidR="00487161">
        <w:rPr>
          <w:bCs/>
        </w:rPr>
        <w:t xml:space="preserve"> </w:t>
      </w:r>
      <w:r w:rsidR="00FF16BD">
        <w:rPr>
          <w:bCs/>
        </w:rPr>
        <w:t>which would be</w:t>
      </w:r>
      <w:r w:rsidR="00487161">
        <w:rPr>
          <w:bCs/>
        </w:rPr>
        <w:t xml:space="preserve"> </w:t>
      </w:r>
      <w:r w:rsidR="00A61F67">
        <w:rPr>
          <w:bCs/>
        </w:rPr>
        <w:t xml:space="preserve">then </w:t>
      </w:r>
      <w:r w:rsidR="00487161">
        <w:rPr>
          <w:bCs/>
        </w:rPr>
        <w:t>considered accordingly</w:t>
      </w:r>
      <w:r>
        <w:rPr>
          <w:bCs/>
        </w:rPr>
        <w:t>.</w:t>
      </w:r>
    </w:p>
    <w:p w14:paraId="6297B16B" w14:textId="77777777" w:rsidR="006E39F3" w:rsidRDefault="006E39F3" w:rsidP="006E39F3">
      <w:pPr>
        <w:pStyle w:val="ListParagraph"/>
        <w:jc w:val="both"/>
        <w:rPr>
          <w:b/>
        </w:rPr>
      </w:pPr>
    </w:p>
    <w:p w14:paraId="3993B1BC" w14:textId="2AFC1232" w:rsidR="00636FEB" w:rsidRPr="00473E84" w:rsidRDefault="00636FEB" w:rsidP="00923324">
      <w:pPr>
        <w:pStyle w:val="ListParagraph"/>
        <w:numPr>
          <w:ilvl w:val="0"/>
          <w:numId w:val="1"/>
        </w:numPr>
        <w:jc w:val="both"/>
        <w:rPr>
          <w:b/>
        </w:rPr>
      </w:pPr>
      <w:r w:rsidRPr="00473E84">
        <w:rPr>
          <w:b/>
        </w:rPr>
        <w:t>Eligibility</w:t>
      </w:r>
    </w:p>
    <w:p w14:paraId="6C7DCB7B" w14:textId="77777777" w:rsidR="00A61F67" w:rsidRDefault="00636FEB" w:rsidP="00923324">
      <w:pPr>
        <w:pStyle w:val="ListParagraph"/>
        <w:jc w:val="both"/>
      </w:pPr>
      <w:r w:rsidRPr="00473E84">
        <w:t xml:space="preserve">Application is open to all teaching </w:t>
      </w:r>
      <w:r w:rsidR="009E3615">
        <w:t>staff</w:t>
      </w:r>
      <w:r w:rsidRPr="00473E84">
        <w:t xml:space="preserve"> of NUS</w:t>
      </w:r>
      <w:r w:rsidR="009E3615">
        <w:t>, whether academic or professional</w:t>
      </w:r>
      <w:r w:rsidR="003B0A0C" w:rsidRPr="00473E84">
        <w:t xml:space="preserve">. </w:t>
      </w:r>
      <w:r w:rsidR="007B741D">
        <w:t xml:space="preserve">TEG </w:t>
      </w:r>
      <w:r w:rsidR="003B0A0C" w:rsidRPr="00473E84">
        <w:t xml:space="preserve">Learning Communities </w:t>
      </w:r>
      <w:r w:rsidR="007815AE">
        <w:t xml:space="preserve">are a result of </w:t>
      </w:r>
      <w:r w:rsidR="003B0A0C" w:rsidRPr="00473E84">
        <w:t>collaborative effort</w:t>
      </w:r>
      <w:r w:rsidR="007815AE">
        <w:t>s,</w:t>
      </w:r>
      <w:r w:rsidR="003B0A0C" w:rsidRPr="00473E84">
        <w:t xml:space="preserve"> </w:t>
      </w:r>
      <w:r w:rsidR="007815AE">
        <w:t>hence</w:t>
      </w:r>
      <w:r w:rsidR="003B0A0C" w:rsidRPr="00473E84">
        <w:t xml:space="preserve"> each proposal to form a </w:t>
      </w:r>
      <w:r w:rsidR="007B741D">
        <w:t xml:space="preserve">TEG </w:t>
      </w:r>
      <w:r w:rsidR="003B0A0C" w:rsidRPr="00473E84">
        <w:t xml:space="preserve">Learning Community should consist of ONE principal </w:t>
      </w:r>
      <w:r w:rsidR="009E3615">
        <w:t>facilitator</w:t>
      </w:r>
      <w:r w:rsidR="003B0A0C" w:rsidRPr="00473E84">
        <w:t xml:space="preserve"> and ONE </w:t>
      </w:r>
      <w:r w:rsidR="009E3615">
        <w:t>co-facilitator</w:t>
      </w:r>
      <w:r w:rsidR="003B0A0C" w:rsidRPr="00473E84">
        <w:t xml:space="preserve">. </w:t>
      </w:r>
    </w:p>
    <w:p w14:paraId="4DE418A1" w14:textId="77777777" w:rsidR="00A61F67" w:rsidRDefault="00A61F67" w:rsidP="00923324">
      <w:pPr>
        <w:pStyle w:val="ListParagraph"/>
        <w:jc w:val="both"/>
      </w:pPr>
    </w:p>
    <w:p w14:paraId="72B13575" w14:textId="77777777" w:rsidR="00A61F67" w:rsidRDefault="003B0A0C" w:rsidP="00923324">
      <w:pPr>
        <w:pStyle w:val="ListParagraph"/>
        <w:jc w:val="both"/>
      </w:pPr>
      <w:r w:rsidRPr="00473E84">
        <w:t xml:space="preserve">Members of the </w:t>
      </w:r>
      <w:r w:rsidR="007B741D">
        <w:t xml:space="preserve">TEG </w:t>
      </w:r>
      <w:r w:rsidRPr="00473E84">
        <w:t xml:space="preserve">Learning Community can include faculty teaching members, </w:t>
      </w:r>
      <w:r w:rsidR="00B51EB9" w:rsidRPr="00473E84">
        <w:t>professional staff</w:t>
      </w:r>
      <w:r w:rsidRPr="00473E84">
        <w:t xml:space="preserve">, research assistants, and undergraduate and postgraduate NUS students. </w:t>
      </w:r>
      <w:r w:rsidR="00A07F78" w:rsidRPr="00473E84">
        <w:t xml:space="preserve">The optimal size of a </w:t>
      </w:r>
      <w:r w:rsidR="007B741D">
        <w:t xml:space="preserve">TEG </w:t>
      </w:r>
      <w:r w:rsidR="00A07F78" w:rsidRPr="00473E84">
        <w:t>Learning Community is 8–12</w:t>
      </w:r>
      <w:r w:rsidR="009E3615">
        <w:t> </w:t>
      </w:r>
      <w:r w:rsidR="00A07F78" w:rsidRPr="00473E84">
        <w:t>people, and it is preferable to include participants at different levels and stages of their careers.</w:t>
      </w:r>
      <w:r w:rsidRPr="00473E84">
        <w:t xml:space="preserve"> </w:t>
      </w:r>
      <w:r w:rsidR="002E7752">
        <w:t xml:space="preserve"> </w:t>
      </w:r>
    </w:p>
    <w:p w14:paraId="28A354E7" w14:textId="77777777" w:rsidR="00A61F67" w:rsidRDefault="00A61F67" w:rsidP="00923324">
      <w:pPr>
        <w:pStyle w:val="ListParagraph"/>
        <w:jc w:val="both"/>
      </w:pPr>
    </w:p>
    <w:p w14:paraId="72165B27" w14:textId="7394A5A3" w:rsidR="00636FEB" w:rsidRPr="00473E84" w:rsidRDefault="009E3615" w:rsidP="00923324">
      <w:pPr>
        <w:pStyle w:val="ListParagraph"/>
        <w:jc w:val="both"/>
      </w:pPr>
      <w:r w:rsidRPr="00473E84">
        <w:t xml:space="preserve">Existing </w:t>
      </w:r>
      <w:r w:rsidR="007B741D">
        <w:t xml:space="preserve">TEG </w:t>
      </w:r>
      <w:r w:rsidRPr="00473E84">
        <w:t>Learning Community projects could also make a subsequent application to sustain their initiatives and to propose any new endeavours with justifications.</w:t>
      </w:r>
    </w:p>
    <w:p w14:paraId="5EB3C98C" w14:textId="77777777" w:rsidR="00A07F78" w:rsidRPr="00473E84" w:rsidRDefault="00A07F78" w:rsidP="00923324">
      <w:pPr>
        <w:pStyle w:val="ListParagraph"/>
        <w:jc w:val="both"/>
      </w:pPr>
    </w:p>
    <w:p w14:paraId="3247ECBB" w14:textId="77777777" w:rsidR="00A07F78" w:rsidRPr="00473E84" w:rsidRDefault="00A07F78" w:rsidP="00923324">
      <w:pPr>
        <w:pStyle w:val="ListParagraph"/>
        <w:numPr>
          <w:ilvl w:val="0"/>
          <w:numId w:val="1"/>
        </w:numPr>
        <w:jc w:val="both"/>
        <w:rPr>
          <w:b/>
        </w:rPr>
      </w:pPr>
      <w:r w:rsidRPr="00473E84">
        <w:rPr>
          <w:b/>
        </w:rPr>
        <w:t>Selection Criteria</w:t>
      </w:r>
    </w:p>
    <w:p w14:paraId="0C5198DB" w14:textId="0C072280" w:rsidR="00A07F78" w:rsidRDefault="00B350BD" w:rsidP="00923324">
      <w:pPr>
        <w:pStyle w:val="ListParagraph"/>
        <w:jc w:val="both"/>
      </w:pPr>
      <w:r>
        <w:t xml:space="preserve">TEG </w:t>
      </w:r>
      <w:r w:rsidR="00A07F78" w:rsidRPr="00473E84">
        <w:t xml:space="preserve">Learning Community proposals </w:t>
      </w:r>
      <w:r w:rsidR="00B23309" w:rsidRPr="00473E84">
        <w:t>will be reviewed</w:t>
      </w:r>
      <w:r>
        <w:t xml:space="preserve"> and evaluated</w:t>
      </w:r>
      <w:r w:rsidR="00B23309" w:rsidRPr="00473E84">
        <w:t xml:space="preserve"> by </w:t>
      </w:r>
      <w:r w:rsidR="00683E55" w:rsidRPr="009F554A">
        <w:t>a selected panel, consisting of CDTL and faculty members</w:t>
      </w:r>
      <w:r w:rsidR="00B23309" w:rsidRPr="009F554A">
        <w:t xml:space="preserve">. These </w:t>
      </w:r>
      <w:r w:rsidRPr="009F554A">
        <w:t xml:space="preserve">proposals will be </w:t>
      </w:r>
      <w:r w:rsidR="00B23309" w:rsidRPr="009F554A">
        <w:t>revi</w:t>
      </w:r>
      <w:r w:rsidR="00B23309" w:rsidRPr="002E7752">
        <w:t>ewe</w:t>
      </w:r>
      <w:r w:rsidRPr="002E7752">
        <w:t>d and</w:t>
      </w:r>
      <w:r w:rsidR="00B23309" w:rsidRPr="002E7752">
        <w:t xml:space="preserve"> </w:t>
      </w:r>
      <w:r w:rsidR="002F0E26" w:rsidRPr="002E7752">
        <w:t>evaluate</w:t>
      </w:r>
      <w:r w:rsidR="007815AE" w:rsidRPr="002E7752">
        <w:t>d</w:t>
      </w:r>
      <w:r w:rsidR="007B741D" w:rsidRPr="002E7752">
        <w:t xml:space="preserve"> based on </w:t>
      </w:r>
      <w:r w:rsidR="00B23309" w:rsidRPr="002E7752">
        <w:t>the</w:t>
      </w:r>
      <w:r w:rsidR="00B23309" w:rsidRPr="00473E84">
        <w:t xml:space="preserve"> following criteria</w:t>
      </w:r>
      <w:r w:rsidR="007B741D">
        <w:t xml:space="preserve">. </w:t>
      </w:r>
      <w:r w:rsidR="00496E89">
        <w:t xml:space="preserve">In the proposal, applicants should consider </w:t>
      </w:r>
      <w:r w:rsidR="007815AE">
        <w:t xml:space="preserve">the following </w:t>
      </w:r>
      <w:r>
        <w:t xml:space="preserve">guiding </w:t>
      </w:r>
      <w:r w:rsidR="00496E89">
        <w:t>questions associated with each of these criteria.</w:t>
      </w:r>
    </w:p>
    <w:p w14:paraId="0B237B50" w14:textId="77777777" w:rsidR="000A762B" w:rsidRPr="00473E84" w:rsidRDefault="000A762B" w:rsidP="00923324">
      <w:pPr>
        <w:pStyle w:val="ListParagraph"/>
        <w:jc w:val="both"/>
      </w:pPr>
    </w:p>
    <w:p w14:paraId="3161B1A5" w14:textId="77777777" w:rsidR="00B23309" w:rsidRPr="00473E84" w:rsidRDefault="00B23309" w:rsidP="00923324">
      <w:pPr>
        <w:pStyle w:val="ListParagraph"/>
        <w:jc w:val="both"/>
      </w:pPr>
    </w:p>
    <w:tbl>
      <w:tblPr>
        <w:tblStyle w:val="TableGrid"/>
        <w:tblW w:w="0" w:type="auto"/>
        <w:tblInd w:w="720" w:type="dxa"/>
        <w:tblLook w:val="04A0" w:firstRow="1" w:lastRow="0" w:firstColumn="1" w:lastColumn="0" w:noHBand="0" w:noVBand="1"/>
      </w:tblPr>
      <w:tblGrid>
        <w:gridCol w:w="1543"/>
        <w:gridCol w:w="6747"/>
      </w:tblGrid>
      <w:tr w:rsidR="00B350BD" w:rsidRPr="00473E84" w14:paraId="0B211C2F" w14:textId="77777777" w:rsidTr="00B350BD">
        <w:tc>
          <w:tcPr>
            <w:tcW w:w="1543" w:type="dxa"/>
          </w:tcPr>
          <w:p w14:paraId="03A8930A" w14:textId="31F5245B" w:rsidR="00B350BD" w:rsidRPr="007561D8" w:rsidRDefault="00B350BD" w:rsidP="00923324">
            <w:pPr>
              <w:pStyle w:val="ListParagraph"/>
              <w:ind w:left="0"/>
              <w:jc w:val="both"/>
              <w:rPr>
                <w:b/>
                <w:bCs/>
              </w:rPr>
            </w:pPr>
            <w:r w:rsidRPr="007561D8">
              <w:rPr>
                <w:b/>
                <w:bCs/>
              </w:rPr>
              <w:t>Criteria</w:t>
            </w:r>
          </w:p>
        </w:tc>
        <w:tc>
          <w:tcPr>
            <w:tcW w:w="6747" w:type="dxa"/>
          </w:tcPr>
          <w:p w14:paraId="751D966F" w14:textId="35FE084E" w:rsidR="00B350BD" w:rsidRPr="007561D8" w:rsidRDefault="00B350BD" w:rsidP="007561D8">
            <w:pPr>
              <w:pStyle w:val="ListParagraph"/>
              <w:ind w:left="0"/>
              <w:jc w:val="both"/>
              <w:rPr>
                <w:b/>
                <w:bCs/>
              </w:rPr>
            </w:pPr>
            <w:r w:rsidRPr="007561D8">
              <w:rPr>
                <w:b/>
                <w:bCs/>
              </w:rPr>
              <w:t>Guiding questions</w:t>
            </w:r>
          </w:p>
        </w:tc>
      </w:tr>
      <w:tr w:rsidR="00B23309" w:rsidRPr="00473E84" w14:paraId="6DE055F4" w14:textId="77777777" w:rsidTr="007561D8">
        <w:tc>
          <w:tcPr>
            <w:tcW w:w="1543" w:type="dxa"/>
          </w:tcPr>
          <w:p w14:paraId="0BE8E79A" w14:textId="77777777" w:rsidR="00B23309" w:rsidRPr="00473E84" w:rsidRDefault="00B23309" w:rsidP="00923324">
            <w:pPr>
              <w:pStyle w:val="ListParagraph"/>
              <w:ind w:left="0"/>
              <w:jc w:val="both"/>
            </w:pPr>
            <w:r w:rsidRPr="00473E84">
              <w:t>Relevance</w:t>
            </w:r>
          </w:p>
        </w:tc>
        <w:tc>
          <w:tcPr>
            <w:tcW w:w="6747" w:type="dxa"/>
          </w:tcPr>
          <w:p w14:paraId="0109BE90" w14:textId="77777777" w:rsidR="00B23309" w:rsidRPr="00473E84" w:rsidRDefault="00496E89" w:rsidP="00923324">
            <w:pPr>
              <w:pStyle w:val="ListParagraph"/>
              <w:numPr>
                <w:ilvl w:val="0"/>
                <w:numId w:val="2"/>
              </w:numPr>
              <w:jc w:val="both"/>
            </w:pPr>
            <w:r>
              <w:t>What teaching and learning issue at NUS will the learning community address?</w:t>
            </w:r>
          </w:p>
        </w:tc>
      </w:tr>
      <w:tr w:rsidR="00B23309" w:rsidRPr="00473E84" w14:paraId="4B2F5D3E" w14:textId="77777777" w:rsidTr="007561D8">
        <w:tc>
          <w:tcPr>
            <w:tcW w:w="1543" w:type="dxa"/>
          </w:tcPr>
          <w:p w14:paraId="524E61F5" w14:textId="77777777" w:rsidR="00B23309" w:rsidRPr="00473E84" w:rsidRDefault="00496E89" w:rsidP="00923324">
            <w:pPr>
              <w:pStyle w:val="ListParagraph"/>
              <w:ind w:left="0"/>
              <w:jc w:val="both"/>
            </w:pPr>
            <w:r>
              <w:t>Design</w:t>
            </w:r>
          </w:p>
        </w:tc>
        <w:tc>
          <w:tcPr>
            <w:tcW w:w="6747" w:type="dxa"/>
          </w:tcPr>
          <w:p w14:paraId="2410E42C" w14:textId="419AF943" w:rsidR="00B23309" w:rsidRPr="009F554A" w:rsidRDefault="00496E89" w:rsidP="00923324">
            <w:pPr>
              <w:pStyle w:val="ListParagraph"/>
              <w:numPr>
                <w:ilvl w:val="0"/>
                <w:numId w:val="2"/>
              </w:numPr>
              <w:jc w:val="both"/>
            </w:pPr>
            <w:r w:rsidRPr="009F554A">
              <w:t xml:space="preserve">How </w:t>
            </w:r>
            <w:r w:rsidR="002F0E26" w:rsidRPr="009F554A">
              <w:t>do you plan</w:t>
            </w:r>
            <w:r w:rsidRPr="009F554A">
              <w:t xml:space="preserve"> to study your teaching and learning issue?</w:t>
            </w:r>
          </w:p>
          <w:p w14:paraId="391DE6E3" w14:textId="6FBF450D" w:rsidR="00496E89" w:rsidRPr="009F554A" w:rsidRDefault="00496E89" w:rsidP="0014097E">
            <w:pPr>
              <w:pStyle w:val="ListParagraph"/>
              <w:numPr>
                <w:ilvl w:val="0"/>
                <w:numId w:val="2"/>
              </w:numPr>
              <w:jc w:val="both"/>
            </w:pPr>
            <w:r w:rsidRPr="009F554A">
              <w:t xml:space="preserve">How </w:t>
            </w:r>
            <w:r w:rsidR="002F0E26" w:rsidRPr="009F554A">
              <w:t>would you</w:t>
            </w:r>
            <w:r w:rsidRPr="009F554A">
              <w:t xml:space="preserve"> organise your learning community</w:t>
            </w:r>
            <w:r w:rsidR="007A7C3F" w:rsidRPr="009F554A">
              <w:t xml:space="preserve"> to </w:t>
            </w:r>
            <w:r w:rsidR="00410B1D" w:rsidRPr="009F554A">
              <w:t>foster</w:t>
            </w:r>
            <w:r w:rsidR="007A7C3F" w:rsidRPr="009F554A">
              <w:t xml:space="preserve"> </w:t>
            </w:r>
            <w:r w:rsidR="0014097E" w:rsidRPr="009F554A">
              <w:t xml:space="preserve">active </w:t>
            </w:r>
            <w:r w:rsidR="00410B1D" w:rsidRPr="009F554A">
              <w:t>engagement</w:t>
            </w:r>
            <w:r w:rsidR="0014097E" w:rsidRPr="009F554A">
              <w:t xml:space="preserve"> over the one-year duration</w:t>
            </w:r>
            <w:r w:rsidRPr="009F554A">
              <w:t>?</w:t>
            </w:r>
          </w:p>
        </w:tc>
      </w:tr>
      <w:tr w:rsidR="00B23309" w:rsidRPr="00473E84" w14:paraId="3016505E" w14:textId="77777777" w:rsidTr="007561D8">
        <w:tc>
          <w:tcPr>
            <w:tcW w:w="1543" w:type="dxa"/>
          </w:tcPr>
          <w:p w14:paraId="7318F800" w14:textId="77777777" w:rsidR="00B23309" w:rsidRPr="00473E84" w:rsidRDefault="00496E89" w:rsidP="00923324">
            <w:pPr>
              <w:pStyle w:val="ListParagraph"/>
              <w:ind w:left="0"/>
              <w:jc w:val="both"/>
            </w:pPr>
            <w:r>
              <w:t>Influence</w:t>
            </w:r>
          </w:p>
        </w:tc>
        <w:tc>
          <w:tcPr>
            <w:tcW w:w="6747" w:type="dxa"/>
          </w:tcPr>
          <w:p w14:paraId="1E08B2E6" w14:textId="4EC3F480" w:rsidR="0014097E" w:rsidRPr="009F554A" w:rsidRDefault="0014097E" w:rsidP="00923324">
            <w:pPr>
              <w:pStyle w:val="ListParagraph"/>
              <w:numPr>
                <w:ilvl w:val="0"/>
                <w:numId w:val="3"/>
              </w:numPr>
              <w:jc w:val="both"/>
            </w:pPr>
            <w:r w:rsidRPr="009F554A">
              <w:t>How would you evaluate the success of your learning community?</w:t>
            </w:r>
          </w:p>
          <w:p w14:paraId="1FEF0818" w14:textId="780CCC5B" w:rsidR="00B23309" w:rsidRPr="009F554A" w:rsidRDefault="00496E89" w:rsidP="00923324">
            <w:pPr>
              <w:pStyle w:val="ListParagraph"/>
              <w:numPr>
                <w:ilvl w:val="0"/>
                <w:numId w:val="3"/>
              </w:numPr>
              <w:jc w:val="both"/>
            </w:pPr>
            <w:r w:rsidRPr="009F554A">
              <w:t>What do you anticipate will be the significance of your learning community for the wider NUS community?</w:t>
            </w:r>
          </w:p>
        </w:tc>
      </w:tr>
    </w:tbl>
    <w:p w14:paraId="581700FF" w14:textId="0E803480" w:rsidR="00FD1003" w:rsidRDefault="00FD1003">
      <w:pPr>
        <w:rPr>
          <w:b/>
        </w:rPr>
      </w:pPr>
      <w:r>
        <w:rPr>
          <w:b/>
        </w:rPr>
        <w:tab/>
      </w:r>
    </w:p>
    <w:p w14:paraId="2187F3D0" w14:textId="306B75DF" w:rsidR="00231E96" w:rsidRPr="009F554A" w:rsidRDefault="00231E96" w:rsidP="00923324">
      <w:pPr>
        <w:pStyle w:val="ListParagraph"/>
        <w:numPr>
          <w:ilvl w:val="0"/>
          <w:numId w:val="1"/>
        </w:numPr>
        <w:jc w:val="both"/>
        <w:rPr>
          <w:b/>
        </w:rPr>
      </w:pPr>
      <w:r w:rsidRPr="009F554A">
        <w:rPr>
          <w:b/>
        </w:rPr>
        <w:t>Deliverable(s)</w:t>
      </w:r>
      <w:r w:rsidR="00AE1EFB" w:rsidRPr="009F554A">
        <w:rPr>
          <w:b/>
        </w:rPr>
        <w:t xml:space="preserve"> and Expectations</w:t>
      </w:r>
    </w:p>
    <w:p w14:paraId="1DF6F8C8" w14:textId="2595C002" w:rsidR="00231E96" w:rsidRDefault="00231E96" w:rsidP="00231E96">
      <w:pPr>
        <w:pStyle w:val="ListParagraph"/>
        <w:jc w:val="both"/>
      </w:pPr>
      <w:r w:rsidRPr="009F554A">
        <w:t xml:space="preserve">Each Learning Community will be required to conduct a workshop or seminar to share their findings, experiences, </w:t>
      </w:r>
      <w:r w:rsidR="00AE1EFB" w:rsidRPr="009F554A">
        <w:t xml:space="preserve">and </w:t>
      </w:r>
      <w:r w:rsidRPr="009F554A">
        <w:t xml:space="preserve">reflections with </w:t>
      </w:r>
      <w:r w:rsidR="00AE1EFB" w:rsidRPr="009F554A">
        <w:t xml:space="preserve">other </w:t>
      </w:r>
      <w:r w:rsidRPr="009F554A">
        <w:t>faculty members after completi</w:t>
      </w:r>
      <w:r w:rsidR="00AE1EFB" w:rsidRPr="009F554A">
        <w:t xml:space="preserve">ng </w:t>
      </w:r>
      <w:r w:rsidRPr="009F554A">
        <w:t xml:space="preserve">a </w:t>
      </w:r>
      <w:r w:rsidR="00AE1EFB" w:rsidRPr="009F554A">
        <w:t>one-year</w:t>
      </w:r>
      <w:r w:rsidRPr="009F554A">
        <w:t xml:space="preserve"> </w:t>
      </w:r>
      <w:r w:rsidR="00AE1EFB" w:rsidRPr="009F554A">
        <w:t xml:space="preserve">LC </w:t>
      </w:r>
      <w:r w:rsidRPr="009F554A">
        <w:t>cycle.</w:t>
      </w:r>
    </w:p>
    <w:p w14:paraId="7CF3D7F4" w14:textId="599A3F03" w:rsidR="00AE1EFB" w:rsidRDefault="00AE1EFB" w:rsidP="00231E96">
      <w:pPr>
        <w:pStyle w:val="ListParagraph"/>
        <w:jc w:val="both"/>
      </w:pPr>
    </w:p>
    <w:p w14:paraId="2621D5A8" w14:textId="7B0E6133" w:rsidR="00AE1EFB" w:rsidRDefault="00AE1EFB" w:rsidP="00AE1EFB">
      <w:pPr>
        <w:pStyle w:val="ListParagraph"/>
        <w:jc w:val="both"/>
        <w:rPr>
          <w:rFonts w:cs="Times New Roman"/>
          <w:lang w:val="en-US"/>
        </w:rPr>
      </w:pPr>
      <w:r w:rsidRPr="00AE1EFB">
        <w:lastRenderedPageBreak/>
        <w:t xml:space="preserve">The TEG Learning Community is expected to meet regularly on an approximately monthly basis over the year of support. Although each TEG Learning Community may organise their meetings differently, every group should have a structure and well-defined goals. During meetings, it is expected that facilitators will moderate the sessions by initiating tasks and activities to encourage everyone’s engagement. During the year, the TEG Learning Community will work towards creating an output that will be of use both to the members of the group and to colleagues in NUS. </w:t>
      </w:r>
    </w:p>
    <w:p w14:paraId="537D2AAC" w14:textId="77777777" w:rsidR="00231E96" w:rsidRPr="00231E96" w:rsidRDefault="00231E96" w:rsidP="00231E96">
      <w:pPr>
        <w:pStyle w:val="ListParagraph"/>
        <w:jc w:val="both"/>
      </w:pPr>
    </w:p>
    <w:p w14:paraId="326D441E" w14:textId="36E8F190" w:rsidR="00007E5F" w:rsidRDefault="00007E5F" w:rsidP="00923324">
      <w:pPr>
        <w:pStyle w:val="ListParagraph"/>
        <w:numPr>
          <w:ilvl w:val="0"/>
          <w:numId w:val="1"/>
        </w:numPr>
        <w:jc w:val="both"/>
        <w:rPr>
          <w:b/>
        </w:rPr>
      </w:pPr>
      <w:r>
        <w:rPr>
          <w:b/>
        </w:rPr>
        <w:t>Timeline</w:t>
      </w:r>
    </w:p>
    <w:p w14:paraId="24DAFB35" w14:textId="6B07A84C" w:rsidR="0054334C" w:rsidRPr="00AE1EFB" w:rsidRDefault="00007E5F" w:rsidP="00923324">
      <w:pPr>
        <w:pStyle w:val="ListParagraph"/>
        <w:jc w:val="both"/>
      </w:pPr>
      <w:r>
        <w:t xml:space="preserve">The deadline for submission of Learning Community project proposals is </w:t>
      </w:r>
      <w:r w:rsidR="003511E4" w:rsidRPr="002054A4">
        <w:rPr>
          <w:b/>
        </w:rPr>
        <w:t>Monday</w:t>
      </w:r>
      <w:r w:rsidR="00484ED3" w:rsidRPr="002054A4">
        <w:rPr>
          <w:b/>
        </w:rPr>
        <w:t>,</w:t>
      </w:r>
      <w:r w:rsidR="003511E4" w:rsidRPr="002054A4">
        <w:rPr>
          <w:b/>
        </w:rPr>
        <w:t xml:space="preserve"> </w:t>
      </w:r>
      <w:r w:rsidR="00B44673" w:rsidRPr="002054A4">
        <w:rPr>
          <w:b/>
        </w:rPr>
        <w:t>8</w:t>
      </w:r>
      <w:r w:rsidR="003511E4" w:rsidRPr="002054A4">
        <w:rPr>
          <w:b/>
        </w:rPr>
        <w:t xml:space="preserve"> January </w:t>
      </w:r>
      <w:r w:rsidRPr="002054A4">
        <w:rPr>
          <w:b/>
        </w:rPr>
        <w:t>202</w:t>
      </w:r>
      <w:r w:rsidR="00B44673" w:rsidRPr="002054A4">
        <w:rPr>
          <w:b/>
        </w:rPr>
        <w:t>4</w:t>
      </w:r>
      <w:r w:rsidRPr="002054A4">
        <w:t xml:space="preserve">. </w:t>
      </w:r>
      <w:r w:rsidR="00F02002" w:rsidRPr="002054A4">
        <w:t>A</w:t>
      </w:r>
      <w:r w:rsidR="00F02002">
        <w:t xml:space="preserve">pplicants should submit their completed </w:t>
      </w:r>
      <w:r w:rsidR="00F02002" w:rsidRPr="00AE1EFB">
        <w:t xml:space="preserve">proposal form to CDTL </w:t>
      </w:r>
      <w:r w:rsidR="000561BA" w:rsidRPr="00AE1EFB">
        <w:t>at</w:t>
      </w:r>
      <w:r w:rsidR="00F02002" w:rsidRPr="00AE1EFB">
        <w:t xml:space="preserve"> </w:t>
      </w:r>
      <w:hyperlink r:id="rId8" w:history="1">
        <w:r w:rsidR="00180325" w:rsidRPr="00AE1EFB">
          <w:rPr>
            <w:rStyle w:val="Hyperlink"/>
          </w:rPr>
          <w:t>link</w:t>
        </w:r>
      </w:hyperlink>
      <w:r w:rsidR="000561BA" w:rsidRPr="00AE1EFB">
        <w:t>.</w:t>
      </w:r>
      <w:r w:rsidR="00F02002" w:rsidRPr="00AE1EFB">
        <w:t xml:space="preserve"> </w:t>
      </w:r>
    </w:p>
    <w:p w14:paraId="7FE3DE97" w14:textId="77777777" w:rsidR="0054334C" w:rsidRPr="00AE1EFB" w:rsidRDefault="0054334C" w:rsidP="00923324">
      <w:pPr>
        <w:pStyle w:val="ListParagraph"/>
        <w:jc w:val="both"/>
      </w:pPr>
    </w:p>
    <w:p w14:paraId="63DF4BDA" w14:textId="6D1CEF9E" w:rsidR="00007E5F" w:rsidRPr="00AE1EFB" w:rsidRDefault="0054334C" w:rsidP="00923324">
      <w:pPr>
        <w:pStyle w:val="ListParagraph"/>
        <w:jc w:val="both"/>
      </w:pPr>
      <w:r w:rsidRPr="00AE1EFB">
        <w:t>Important dates:</w:t>
      </w:r>
    </w:p>
    <w:p w14:paraId="0A217F7B" w14:textId="77777777" w:rsidR="002E7752" w:rsidRPr="00AE1EFB" w:rsidRDefault="002E7752" w:rsidP="00923324">
      <w:pPr>
        <w:pStyle w:val="ListParagraph"/>
        <w:jc w:val="both"/>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5"/>
        <w:gridCol w:w="4115"/>
      </w:tblGrid>
      <w:tr w:rsidR="0006750C" w:rsidRPr="00AE1EFB" w14:paraId="625F6B79" w14:textId="77777777" w:rsidTr="002E7752">
        <w:tc>
          <w:tcPr>
            <w:tcW w:w="4185" w:type="dxa"/>
          </w:tcPr>
          <w:p w14:paraId="291AC0BF" w14:textId="7B42E12E" w:rsidR="0006750C" w:rsidRPr="00AE1EFB" w:rsidRDefault="0006750C" w:rsidP="0054334C">
            <w:pPr>
              <w:jc w:val="both"/>
            </w:pPr>
            <w:r w:rsidRPr="00AE1EFB">
              <w:t>Briefing (on zoom)</w:t>
            </w:r>
          </w:p>
        </w:tc>
        <w:tc>
          <w:tcPr>
            <w:tcW w:w="4115" w:type="dxa"/>
          </w:tcPr>
          <w:p w14:paraId="02611B42" w14:textId="4BF2CF1A" w:rsidR="0006750C" w:rsidRPr="00AE1EFB" w:rsidRDefault="00B44673" w:rsidP="002E7752">
            <w:pPr>
              <w:pStyle w:val="ListParagraph"/>
              <w:ind w:left="0"/>
              <w:jc w:val="both"/>
            </w:pPr>
            <w:r w:rsidRPr="00AE1EFB">
              <w:t>24 Nov 2023</w:t>
            </w:r>
          </w:p>
        </w:tc>
      </w:tr>
      <w:tr w:rsidR="0054334C" w:rsidRPr="002054A4" w14:paraId="7C1682D6" w14:textId="77777777" w:rsidTr="002E7752">
        <w:tc>
          <w:tcPr>
            <w:tcW w:w="4185" w:type="dxa"/>
          </w:tcPr>
          <w:p w14:paraId="7867C385" w14:textId="77777777" w:rsidR="0054334C" w:rsidRPr="002054A4" w:rsidRDefault="0054334C" w:rsidP="0054334C">
            <w:pPr>
              <w:jc w:val="both"/>
            </w:pPr>
            <w:r w:rsidRPr="002054A4">
              <w:t>Deadline for submission</w:t>
            </w:r>
          </w:p>
        </w:tc>
        <w:tc>
          <w:tcPr>
            <w:tcW w:w="4115" w:type="dxa"/>
          </w:tcPr>
          <w:p w14:paraId="3FC4CDC3" w14:textId="350E7DE3" w:rsidR="0054334C" w:rsidRPr="002054A4" w:rsidRDefault="00B44673" w:rsidP="00E074A8">
            <w:pPr>
              <w:pStyle w:val="ListParagraph"/>
              <w:ind w:left="0"/>
              <w:jc w:val="both"/>
            </w:pPr>
            <w:r w:rsidRPr="002054A4">
              <w:t xml:space="preserve">8 </w:t>
            </w:r>
            <w:r w:rsidR="00845FE6" w:rsidRPr="002054A4">
              <w:t xml:space="preserve">Jan </w:t>
            </w:r>
            <w:r w:rsidR="000561BA" w:rsidRPr="002054A4">
              <w:t>202</w:t>
            </w:r>
            <w:r w:rsidRPr="002054A4">
              <w:t>4</w:t>
            </w:r>
          </w:p>
        </w:tc>
      </w:tr>
      <w:tr w:rsidR="0054334C" w:rsidRPr="002054A4" w14:paraId="22FAEE13" w14:textId="77777777" w:rsidTr="002E7752">
        <w:tc>
          <w:tcPr>
            <w:tcW w:w="4185" w:type="dxa"/>
          </w:tcPr>
          <w:p w14:paraId="06A63326" w14:textId="77777777" w:rsidR="0054334C" w:rsidRPr="002054A4" w:rsidRDefault="0054334C" w:rsidP="00923324">
            <w:pPr>
              <w:pStyle w:val="ListParagraph"/>
              <w:ind w:left="0"/>
              <w:jc w:val="both"/>
            </w:pPr>
            <w:r w:rsidRPr="002054A4">
              <w:t>Notification of award</w:t>
            </w:r>
          </w:p>
        </w:tc>
        <w:tc>
          <w:tcPr>
            <w:tcW w:w="4115" w:type="dxa"/>
          </w:tcPr>
          <w:p w14:paraId="3104DF65" w14:textId="7D88ADBE" w:rsidR="0054334C" w:rsidRPr="002054A4" w:rsidRDefault="00B44673" w:rsidP="00E074A8">
            <w:pPr>
              <w:pStyle w:val="ListParagraph"/>
              <w:ind w:left="0"/>
              <w:jc w:val="both"/>
            </w:pPr>
            <w:r w:rsidRPr="002054A4">
              <w:t>1</w:t>
            </w:r>
            <w:r w:rsidR="00845FE6" w:rsidRPr="002054A4">
              <w:t xml:space="preserve"> Feb</w:t>
            </w:r>
            <w:r w:rsidR="000561BA" w:rsidRPr="002054A4">
              <w:t xml:space="preserve"> 202</w:t>
            </w:r>
            <w:r w:rsidRPr="002054A4">
              <w:t>4</w:t>
            </w:r>
          </w:p>
        </w:tc>
      </w:tr>
      <w:tr w:rsidR="0054334C" w:rsidRPr="002054A4" w14:paraId="19597A04" w14:textId="77777777" w:rsidTr="002E7752">
        <w:tc>
          <w:tcPr>
            <w:tcW w:w="4185" w:type="dxa"/>
          </w:tcPr>
          <w:p w14:paraId="0F8C1437" w14:textId="77777777" w:rsidR="0054334C" w:rsidRPr="002054A4" w:rsidRDefault="0054334C" w:rsidP="00923324">
            <w:pPr>
              <w:pStyle w:val="ListParagraph"/>
              <w:ind w:left="0"/>
              <w:jc w:val="both"/>
            </w:pPr>
            <w:r w:rsidRPr="002054A4">
              <w:t>Recruitment of members</w:t>
            </w:r>
          </w:p>
        </w:tc>
        <w:tc>
          <w:tcPr>
            <w:tcW w:w="4115" w:type="dxa"/>
          </w:tcPr>
          <w:p w14:paraId="0BF03622" w14:textId="7328D332" w:rsidR="0054334C" w:rsidRPr="002054A4" w:rsidRDefault="00E074A8" w:rsidP="00E074A8">
            <w:pPr>
              <w:pStyle w:val="ListParagraph"/>
              <w:ind w:left="0"/>
              <w:jc w:val="both"/>
            </w:pPr>
            <w:r w:rsidRPr="002054A4">
              <w:t>1</w:t>
            </w:r>
            <w:r w:rsidR="0040654F" w:rsidRPr="002054A4">
              <w:t xml:space="preserve"> Feb</w:t>
            </w:r>
            <w:r w:rsidR="000561BA" w:rsidRPr="002054A4">
              <w:t xml:space="preserve"> </w:t>
            </w:r>
            <w:r w:rsidR="00380276" w:rsidRPr="002054A4">
              <w:t>–</w:t>
            </w:r>
            <w:r w:rsidR="000561BA" w:rsidRPr="002054A4">
              <w:t xml:space="preserve"> </w:t>
            </w:r>
            <w:r w:rsidR="00380276" w:rsidRPr="002054A4">
              <w:t>29 Feb</w:t>
            </w:r>
            <w:r w:rsidR="0054334C" w:rsidRPr="002054A4">
              <w:t xml:space="preserve"> 202</w:t>
            </w:r>
            <w:r w:rsidR="006513A1" w:rsidRPr="002054A4">
              <w:t>4</w:t>
            </w:r>
          </w:p>
        </w:tc>
      </w:tr>
      <w:tr w:rsidR="0054334C" w:rsidRPr="002054A4" w14:paraId="21B9988A" w14:textId="77777777" w:rsidTr="002E7752">
        <w:tc>
          <w:tcPr>
            <w:tcW w:w="4185" w:type="dxa"/>
          </w:tcPr>
          <w:p w14:paraId="18AA9FC1" w14:textId="77777777" w:rsidR="0054334C" w:rsidRPr="002054A4" w:rsidRDefault="0054334C" w:rsidP="00923324">
            <w:pPr>
              <w:pStyle w:val="ListParagraph"/>
              <w:ind w:left="0"/>
              <w:jc w:val="both"/>
            </w:pPr>
            <w:r w:rsidRPr="002054A4">
              <w:t>Kick-off meeting of facilitators</w:t>
            </w:r>
          </w:p>
        </w:tc>
        <w:tc>
          <w:tcPr>
            <w:tcW w:w="4115" w:type="dxa"/>
          </w:tcPr>
          <w:p w14:paraId="64BF80B5" w14:textId="7933F8CA" w:rsidR="0054334C" w:rsidRPr="002054A4" w:rsidRDefault="00380276" w:rsidP="00FD1003">
            <w:pPr>
              <w:pStyle w:val="ListParagraph"/>
              <w:ind w:left="0"/>
              <w:jc w:val="both"/>
            </w:pPr>
            <w:r w:rsidRPr="002054A4">
              <w:t>Mid-Feb</w:t>
            </w:r>
            <w:r w:rsidR="00B44673" w:rsidRPr="002054A4">
              <w:t xml:space="preserve"> 2024</w:t>
            </w:r>
          </w:p>
        </w:tc>
      </w:tr>
      <w:tr w:rsidR="0054334C" w:rsidRPr="002054A4" w14:paraId="1030BF51" w14:textId="77777777" w:rsidTr="002E7752">
        <w:tc>
          <w:tcPr>
            <w:tcW w:w="4185" w:type="dxa"/>
          </w:tcPr>
          <w:p w14:paraId="681DB87A" w14:textId="77777777" w:rsidR="0054334C" w:rsidRPr="002054A4" w:rsidRDefault="0054334C" w:rsidP="00923324">
            <w:pPr>
              <w:pStyle w:val="ListParagraph"/>
              <w:ind w:left="0"/>
              <w:jc w:val="both"/>
            </w:pPr>
            <w:r w:rsidRPr="002054A4">
              <w:t>First meetings of Learning Communities</w:t>
            </w:r>
          </w:p>
        </w:tc>
        <w:tc>
          <w:tcPr>
            <w:tcW w:w="4115" w:type="dxa"/>
          </w:tcPr>
          <w:p w14:paraId="573B120F" w14:textId="0A2F9132" w:rsidR="0054334C" w:rsidRPr="002054A4" w:rsidRDefault="007A7C3F" w:rsidP="00845FE6">
            <w:pPr>
              <w:pStyle w:val="ListParagraph"/>
              <w:ind w:left="0"/>
              <w:jc w:val="both"/>
            </w:pPr>
            <w:r w:rsidRPr="002054A4">
              <w:t>Mar</w:t>
            </w:r>
            <w:r w:rsidR="000561BA" w:rsidRPr="002054A4">
              <w:t xml:space="preserve"> 202</w:t>
            </w:r>
            <w:r w:rsidR="0044664C" w:rsidRPr="002054A4">
              <w:t>4</w:t>
            </w:r>
          </w:p>
        </w:tc>
      </w:tr>
    </w:tbl>
    <w:p w14:paraId="39282F30" w14:textId="77777777" w:rsidR="00007E5F" w:rsidRPr="002054A4" w:rsidRDefault="00007E5F" w:rsidP="00923324">
      <w:pPr>
        <w:pStyle w:val="ListParagraph"/>
        <w:jc w:val="both"/>
      </w:pPr>
    </w:p>
    <w:p w14:paraId="55A71715" w14:textId="77777777" w:rsidR="009E3615" w:rsidRPr="002054A4" w:rsidRDefault="00473E84" w:rsidP="009E3615">
      <w:pPr>
        <w:pStyle w:val="ListParagraph"/>
        <w:numPr>
          <w:ilvl w:val="0"/>
          <w:numId w:val="1"/>
        </w:numPr>
        <w:jc w:val="both"/>
        <w:rPr>
          <w:b/>
        </w:rPr>
      </w:pPr>
      <w:r w:rsidRPr="002054A4">
        <w:rPr>
          <w:b/>
        </w:rPr>
        <w:t>Support from CDTL</w:t>
      </w:r>
    </w:p>
    <w:p w14:paraId="42B55E20" w14:textId="41407FD1" w:rsidR="00637042" w:rsidRPr="002054A4" w:rsidRDefault="00473E84" w:rsidP="009E3615">
      <w:pPr>
        <w:pStyle w:val="ListParagraph"/>
        <w:jc w:val="both"/>
        <w:rPr>
          <w:color w:val="000000" w:themeColor="text1"/>
        </w:rPr>
      </w:pPr>
      <w:r w:rsidRPr="002054A4">
        <w:t xml:space="preserve">CDTL will </w:t>
      </w:r>
      <w:r w:rsidR="00567BDA" w:rsidRPr="002054A4">
        <w:t xml:space="preserve">conduct a </w:t>
      </w:r>
      <w:r w:rsidR="00410B1D" w:rsidRPr="002054A4">
        <w:t>kick-off meeting</w:t>
      </w:r>
      <w:r w:rsidR="009E3615" w:rsidRPr="002054A4">
        <w:t xml:space="preserve"> with the Facilitators prior to the first meeting of </w:t>
      </w:r>
      <w:r w:rsidR="002F0E26" w:rsidRPr="002054A4">
        <w:t xml:space="preserve">the </w:t>
      </w:r>
      <w:r w:rsidR="002E7752" w:rsidRPr="002054A4">
        <w:t xml:space="preserve">awarded </w:t>
      </w:r>
      <w:r w:rsidR="002F0E26" w:rsidRPr="002054A4">
        <w:t xml:space="preserve">TEG </w:t>
      </w:r>
      <w:r w:rsidR="009E3615" w:rsidRPr="002054A4">
        <w:t>Learning Communities</w:t>
      </w:r>
      <w:r w:rsidR="00410B1D" w:rsidRPr="002054A4">
        <w:t>,</w:t>
      </w:r>
      <w:r w:rsidR="009E3615" w:rsidRPr="002054A4">
        <w:t xml:space="preserve"> to provide </w:t>
      </w:r>
      <w:r w:rsidR="00410B1D" w:rsidRPr="002054A4">
        <w:t>initial training and guidance</w:t>
      </w:r>
      <w:r w:rsidR="009E3615" w:rsidRPr="002054A4">
        <w:t xml:space="preserve"> </w:t>
      </w:r>
      <w:r w:rsidR="00AE1EFB" w:rsidRPr="002054A4">
        <w:t xml:space="preserve">about </w:t>
      </w:r>
      <w:r w:rsidR="009E3615" w:rsidRPr="002054A4">
        <w:t xml:space="preserve">the </w:t>
      </w:r>
      <w:r w:rsidR="00410B1D" w:rsidRPr="002054A4">
        <w:t>implementation of Learning Communities</w:t>
      </w:r>
      <w:r w:rsidR="009E3615" w:rsidRPr="002054A4">
        <w:t xml:space="preserve">. </w:t>
      </w:r>
      <w:r w:rsidR="00410B1D" w:rsidRPr="002054A4">
        <w:t>Subsequently, the facilitators will meet with CDTL academic developers on a half-yearly check-in session</w:t>
      </w:r>
      <w:r w:rsidR="000A144A" w:rsidRPr="002054A4">
        <w:t>.</w:t>
      </w:r>
      <w:r w:rsidRPr="002054A4">
        <w:t xml:space="preserve"> </w:t>
      </w:r>
    </w:p>
    <w:p w14:paraId="6301D43D" w14:textId="77777777" w:rsidR="00473E84" w:rsidRPr="006D2CFE" w:rsidRDefault="00473E84" w:rsidP="00923324">
      <w:pPr>
        <w:pStyle w:val="ListParagraph"/>
        <w:jc w:val="both"/>
        <w:rPr>
          <w:highlight w:val="green"/>
        </w:rPr>
      </w:pPr>
    </w:p>
    <w:p w14:paraId="199297B5" w14:textId="77777777" w:rsidR="00420AA1" w:rsidRPr="00420AA1" w:rsidRDefault="00420AA1" w:rsidP="00923324">
      <w:pPr>
        <w:pStyle w:val="ListParagraph"/>
        <w:numPr>
          <w:ilvl w:val="0"/>
          <w:numId w:val="1"/>
        </w:numPr>
        <w:jc w:val="both"/>
        <w:rPr>
          <w:b/>
        </w:rPr>
      </w:pPr>
      <w:r w:rsidRPr="00420AA1">
        <w:rPr>
          <w:b/>
        </w:rPr>
        <w:t>Use of the Grant</w:t>
      </w:r>
    </w:p>
    <w:p w14:paraId="27D2BA5F" w14:textId="5E422BDD" w:rsidR="00420AA1" w:rsidRDefault="00420AA1" w:rsidP="00923324">
      <w:pPr>
        <w:pStyle w:val="ListParagraph"/>
        <w:jc w:val="both"/>
      </w:pPr>
      <w:r>
        <w:t>Funds awarded for</w:t>
      </w:r>
      <w:r w:rsidR="002F0E26">
        <w:t xml:space="preserve"> TEG</w:t>
      </w:r>
      <w:r>
        <w:t xml:space="preserve"> Learning Community projects can be used for</w:t>
      </w:r>
      <w:r w:rsidR="009E3615">
        <w:t>, amongst other things,</w:t>
      </w:r>
      <w:r>
        <w:t xml:space="preserve"> the following:</w:t>
      </w:r>
    </w:p>
    <w:p w14:paraId="5A448A27" w14:textId="77777777" w:rsidR="00420AA1" w:rsidRPr="009E3615" w:rsidRDefault="00420AA1" w:rsidP="00923324">
      <w:pPr>
        <w:pStyle w:val="ListParagraph"/>
        <w:numPr>
          <w:ilvl w:val="1"/>
          <w:numId w:val="3"/>
        </w:numPr>
        <w:jc w:val="both"/>
      </w:pPr>
      <w:r>
        <w:t>Refreshments for meetings</w:t>
      </w:r>
      <w:r w:rsidR="0033791D" w:rsidRPr="009E3615">
        <w:rPr>
          <w:color w:val="000000" w:themeColor="text1"/>
        </w:rPr>
        <w:t>;</w:t>
      </w:r>
      <w:r w:rsidR="00AD3766">
        <w:rPr>
          <w:rStyle w:val="FootnoteReference"/>
          <w:color w:val="000000" w:themeColor="text1"/>
        </w:rPr>
        <w:footnoteReference w:id="1"/>
      </w:r>
    </w:p>
    <w:p w14:paraId="1274EA7D" w14:textId="2F7B6784" w:rsidR="009E3615" w:rsidRDefault="009E3615" w:rsidP="00923324">
      <w:pPr>
        <w:pStyle w:val="ListParagraph"/>
        <w:numPr>
          <w:ilvl w:val="1"/>
          <w:numId w:val="3"/>
        </w:numPr>
        <w:jc w:val="both"/>
      </w:pPr>
      <w:r>
        <w:t>Inviting experts to speak on</w:t>
      </w:r>
      <w:r w:rsidR="000561BA">
        <w:t>line or on</w:t>
      </w:r>
      <w:r>
        <w:t xml:space="preserve"> </w:t>
      </w:r>
      <w:r w:rsidR="00F435D9">
        <w:t xml:space="preserve">NUS </w:t>
      </w:r>
      <w:r>
        <w:t>campus;</w:t>
      </w:r>
    </w:p>
    <w:p w14:paraId="2A547B9A" w14:textId="76A7C30F" w:rsidR="009E3615" w:rsidRDefault="009E3615" w:rsidP="00923324">
      <w:pPr>
        <w:pStyle w:val="ListParagraph"/>
        <w:numPr>
          <w:ilvl w:val="1"/>
          <w:numId w:val="3"/>
        </w:numPr>
        <w:jc w:val="both"/>
      </w:pPr>
      <w:r>
        <w:t>Purchasing relevant books</w:t>
      </w:r>
      <w:r w:rsidR="005A5DA6">
        <w:t xml:space="preserve">, </w:t>
      </w:r>
      <w:r>
        <w:t>materials</w:t>
      </w:r>
      <w:r w:rsidR="005A5DA6">
        <w:t xml:space="preserve"> and software/online tools</w:t>
      </w:r>
      <w:r>
        <w:t>;</w:t>
      </w:r>
    </w:p>
    <w:p w14:paraId="061693A6" w14:textId="77777777" w:rsidR="00AD3766" w:rsidRDefault="00AD3766" w:rsidP="00923324">
      <w:pPr>
        <w:pStyle w:val="ListParagraph"/>
        <w:numPr>
          <w:ilvl w:val="1"/>
          <w:numId w:val="3"/>
        </w:numPr>
        <w:jc w:val="both"/>
      </w:pPr>
      <w:r>
        <w:t>Organising events to share the group’s work;</w:t>
      </w:r>
    </w:p>
    <w:p w14:paraId="2B2AEC79" w14:textId="77777777" w:rsidR="00420AA1" w:rsidRDefault="00420AA1" w:rsidP="00923324">
      <w:pPr>
        <w:pStyle w:val="ListParagraph"/>
        <w:numPr>
          <w:ilvl w:val="1"/>
          <w:numId w:val="3"/>
        </w:numPr>
        <w:jc w:val="both"/>
      </w:pPr>
      <w:r>
        <w:t xml:space="preserve">Engaging part-time </w:t>
      </w:r>
      <w:r w:rsidR="00735762" w:rsidRPr="009E3615">
        <w:rPr>
          <w:color w:val="000000" w:themeColor="text1"/>
        </w:rPr>
        <w:t xml:space="preserve">student </w:t>
      </w:r>
      <w:r>
        <w:t>research assistance</w:t>
      </w:r>
      <w:r w:rsidR="0033791D">
        <w:t>;</w:t>
      </w:r>
      <w:r w:rsidR="009E3615">
        <w:rPr>
          <w:rStyle w:val="FootnoteReference"/>
        </w:rPr>
        <w:footnoteReference w:id="2"/>
      </w:r>
      <w:r w:rsidR="0033791D">
        <w:t xml:space="preserve"> and,</w:t>
      </w:r>
    </w:p>
    <w:p w14:paraId="28BE9508" w14:textId="77777777" w:rsidR="00420AA1" w:rsidRDefault="00420AA1" w:rsidP="00923324">
      <w:pPr>
        <w:pStyle w:val="ListParagraph"/>
        <w:numPr>
          <w:ilvl w:val="1"/>
          <w:numId w:val="3"/>
        </w:numPr>
        <w:jc w:val="both"/>
      </w:pPr>
      <w:r>
        <w:t xml:space="preserve">Support for </w:t>
      </w:r>
      <w:r w:rsidR="0033791D">
        <w:t>attending relevant workshops or conferences</w:t>
      </w:r>
      <w:r w:rsidR="00AD3766">
        <w:rPr>
          <w:rStyle w:val="FootnoteReference"/>
        </w:rPr>
        <w:footnoteReference w:id="3"/>
      </w:r>
      <w:r w:rsidR="0033791D" w:rsidRPr="009E3615">
        <w:rPr>
          <w:color w:val="000000" w:themeColor="text1"/>
        </w:rPr>
        <w:t>.</w:t>
      </w:r>
    </w:p>
    <w:p w14:paraId="54BBD16B" w14:textId="77777777" w:rsidR="00531699" w:rsidRDefault="00531699" w:rsidP="00923324">
      <w:pPr>
        <w:pStyle w:val="ListParagraph"/>
        <w:jc w:val="both"/>
      </w:pPr>
    </w:p>
    <w:p w14:paraId="5ED88AC7" w14:textId="77777777" w:rsidR="0033791D" w:rsidRPr="0033791D" w:rsidRDefault="0033791D" w:rsidP="00923324">
      <w:pPr>
        <w:pStyle w:val="ListParagraph"/>
        <w:numPr>
          <w:ilvl w:val="0"/>
          <w:numId w:val="1"/>
        </w:numPr>
        <w:jc w:val="both"/>
        <w:rPr>
          <w:b/>
          <w:lang w:val="en-US"/>
        </w:rPr>
      </w:pPr>
      <w:r w:rsidRPr="0033791D">
        <w:rPr>
          <w:b/>
          <w:lang w:val="en-US"/>
        </w:rPr>
        <w:t>Post Award</w:t>
      </w:r>
    </w:p>
    <w:p w14:paraId="3450D480" w14:textId="3FA45442" w:rsidR="0033791D" w:rsidRPr="002300A1" w:rsidRDefault="0033791D" w:rsidP="00923324">
      <w:pPr>
        <w:pStyle w:val="ListParagraph"/>
        <w:jc w:val="both"/>
        <w:rPr>
          <w:lang w:val="en-US"/>
        </w:rPr>
      </w:pPr>
      <w:r w:rsidRPr="0033791D">
        <w:rPr>
          <w:lang w:val="en-US"/>
        </w:rPr>
        <w:t xml:space="preserve">The awarded funds will be provided in a project WBS to be drawn by the </w:t>
      </w:r>
      <w:r>
        <w:rPr>
          <w:lang w:val="en-US"/>
        </w:rPr>
        <w:t xml:space="preserve">Principal </w:t>
      </w:r>
      <w:r w:rsidR="009E3615">
        <w:rPr>
          <w:lang w:val="en-US"/>
        </w:rPr>
        <w:t>Facilitator</w:t>
      </w:r>
      <w:r w:rsidRPr="0033791D">
        <w:rPr>
          <w:lang w:val="en-US"/>
        </w:rPr>
        <w:t xml:space="preserve"> for the</w:t>
      </w:r>
      <w:r w:rsidR="002F0E26">
        <w:rPr>
          <w:lang w:val="en-US"/>
        </w:rPr>
        <w:t xml:space="preserve"> TEG</w:t>
      </w:r>
      <w:r w:rsidRPr="0033791D">
        <w:rPr>
          <w:lang w:val="en-US"/>
        </w:rPr>
        <w:t xml:space="preserve"> </w:t>
      </w:r>
      <w:r>
        <w:rPr>
          <w:lang w:val="en-US"/>
        </w:rPr>
        <w:t xml:space="preserve">Learning Community </w:t>
      </w:r>
      <w:r w:rsidRPr="0033791D">
        <w:rPr>
          <w:lang w:val="en-US"/>
        </w:rPr>
        <w:t xml:space="preserve">project. </w:t>
      </w:r>
      <w:r>
        <w:rPr>
          <w:lang w:val="en-US"/>
        </w:rPr>
        <w:t xml:space="preserve">Principal </w:t>
      </w:r>
      <w:r w:rsidR="009E3615">
        <w:rPr>
          <w:lang w:val="en-US"/>
        </w:rPr>
        <w:t>Facilitators</w:t>
      </w:r>
      <w:r w:rsidRPr="0033791D">
        <w:rPr>
          <w:lang w:val="en-US"/>
        </w:rPr>
        <w:t xml:space="preserve"> should note that all funds awarded must be utilized in accordance with existing NUS financial </w:t>
      </w:r>
      <w:r w:rsidRPr="0033791D">
        <w:rPr>
          <w:lang w:val="en-US"/>
        </w:rPr>
        <w:lastRenderedPageBreak/>
        <w:t>guidelines</w:t>
      </w:r>
      <w:r w:rsidR="00291FFF">
        <w:rPr>
          <w:lang w:val="en-US"/>
        </w:rPr>
        <w:t xml:space="preserve"> </w:t>
      </w:r>
      <w:r w:rsidR="00291FFF" w:rsidRPr="009E3615">
        <w:rPr>
          <w:color w:val="000000" w:themeColor="text1"/>
          <w:lang w:val="en-US"/>
        </w:rPr>
        <w:t>and any grant approval guidelines determined by CDTL.</w:t>
      </w:r>
      <w:r w:rsidR="00790B7B" w:rsidRPr="00790B7B">
        <w:rPr>
          <w:rFonts w:cs="Times New Roman"/>
          <w:color w:val="FF0000"/>
          <w:lang w:val="en-US"/>
        </w:rPr>
        <w:t xml:space="preserve"> </w:t>
      </w:r>
      <w:r w:rsidR="00790B7B" w:rsidRPr="002E7752">
        <w:rPr>
          <w:rFonts w:cs="Times New Roman"/>
          <w:lang w:val="en-US"/>
        </w:rPr>
        <w:t xml:space="preserve">The grant will be valid for </w:t>
      </w:r>
      <w:r w:rsidR="004A026F" w:rsidRPr="002E7752">
        <w:rPr>
          <w:rFonts w:cs="Times New Roman"/>
          <w:lang w:val="en-US"/>
        </w:rPr>
        <w:t xml:space="preserve">the period of </w:t>
      </w:r>
      <w:r w:rsidR="00790B7B" w:rsidRPr="002E7752">
        <w:rPr>
          <w:rFonts w:cs="Times New Roman"/>
          <w:lang w:val="en-US"/>
        </w:rPr>
        <w:t xml:space="preserve">one year </w:t>
      </w:r>
      <w:r w:rsidR="00790B7B" w:rsidRPr="000A762B">
        <w:rPr>
          <w:rFonts w:cs="Times New Roman"/>
          <w:lang w:val="en-US"/>
        </w:rPr>
        <w:t>(</w:t>
      </w:r>
      <w:r w:rsidR="00790B7B" w:rsidRPr="002300A1">
        <w:rPr>
          <w:rFonts w:cs="Times New Roman"/>
          <w:lang w:val="en-US"/>
        </w:rPr>
        <w:t>1 Apr 202</w:t>
      </w:r>
      <w:r w:rsidR="001128D5" w:rsidRPr="002300A1">
        <w:rPr>
          <w:rFonts w:cs="Times New Roman"/>
          <w:lang w:val="en-US"/>
        </w:rPr>
        <w:t>4</w:t>
      </w:r>
      <w:r w:rsidR="00790B7B" w:rsidRPr="002300A1">
        <w:rPr>
          <w:rFonts w:cs="Times New Roman"/>
          <w:lang w:val="en-US"/>
        </w:rPr>
        <w:t xml:space="preserve"> – 31 Mar 202</w:t>
      </w:r>
      <w:r w:rsidR="001128D5" w:rsidRPr="002300A1">
        <w:rPr>
          <w:rFonts w:cs="Times New Roman"/>
          <w:lang w:val="en-US"/>
        </w:rPr>
        <w:t>5</w:t>
      </w:r>
      <w:r w:rsidR="00790B7B" w:rsidRPr="002300A1">
        <w:rPr>
          <w:rFonts w:cs="Times New Roman"/>
          <w:lang w:val="en-US"/>
        </w:rPr>
        <w:t>).</w:t>
      </w:r>
      <w:r w:rsidR="00790B7B" w:rsidRPr="002300A1">
        <w:rPr>
          <w:rFonts w:cs="Times New Roman"/>
          <w:sz w:val="20"/>
          <w:szCs w:val="20"/>
          <w:lang w:val="en-US"/>
        </w:rPr>
        <w:t xml:space="preserve">  </w:t>
      </w:r>
    </w:p>
    <w:p w14:paraId="5DD1FCFF" w14:textId="77777777" w:rsidR="003D61F5" w:rsidRPr="002300A1" w:rsidRDefault="003D61F5" w:rsidP="00923324">
      <w:pPr>
        <w:pStyle w:val="ListParagraph"/>
        <w:jc w:val="both"/>
        <w:rPr>
          <w:rFonts w:cs="Times New Roman"/>
          <w:sz w:val="20"/>
          <w:szCs w:val="20"/>
        </w:rPr>
      </w:pPr>
    </w:p>
    <w:p w14:paraId="2434A847" w14:textId="5E3EFB12" w:rsidR="00AD3766" w:rsidRDefault="003D61F5" w:rsidP="00AD3766">
      <w:pPr>
        <w:pStyle w:val="ListParagraph"/>
        <w:jc w:val="both"/>
      </w:pPr>
      <w:r w:rsidRPr="002300A1">
        <w:rPr>
          <w:rFonts w:cs="Times New Roman"/>
        </w:rPr>
        <w:t xml:space="preserve">Approval from CDTL will be sought for </w:t>
      </w:r>
      <w:r w:rsidRPr="002300A1">
        <w:rPr>
          <w:rFonts w:cs="Times New Roman"/>
          <w:i/>
        </w:rPr>
        <w:t>any</w:t>
      </w:r>
      <w:r w:rsidRPr="002300A1">
        <w:rPr>
          <w:rFonts w:cs="Times New Roman"/>
        </w:rPr>
        <w:t xml:space="preserve"> project variation such as budget virement, project extension, etc. </w:t>
      </w:r>
      <w:r w:rsidR="001128D5" w:rsidRPr="002300A1">
        <w:rPr>
          <w:rFonts w:cs="Times New Roman"/>
        </w:rPr>
        <w:t xml:space="preserve">Requests for project variation or extension after the project completion date will not be considered. </w:t>
      </w:r>
      <w:r w:rsidR="004F7EB1" w:rsidRPr="002300A1">
        <w:rPr>
          <w:color w:val="000000" w:themeColor="text1"/>
        </w:rPr>
        <w:t xml:space="preserve">The Principal </w:t>
      </w:r>
      <w:r w:rsidR="009E3615" w:rsidRPr="002300A1">
        <w:rPr>
          <w:color w:val="000000" w:themeColor="text1"/>
        </w:rPr>
        <w:t>Facilitator</w:t>
      </w:r>
      <w:r w:rsidR="004F7EB1" w:rsidRPr="002300A1">
        <w:rPr>
          <w:color w:val="000000" w:themeColor="text1"/>
        </w:rPr>
        <w:t xml:space="preserve"> will submit a final Statement of Account </w:t>
      </w:r>
      <w:r w:rsidR="00790B7B" w:rsidRPr="002300A1">
        <w:rPr>
          <w:color w:val="000000" w:themeColor="text1"/>
        </w:rPr>
        <w:t>of the project WBS</w:t>
      </w:r>
      <w:r w:rsidR="004F7EB1" w:rsidRPr="002300A1">
        <w:rPr>
          <w:color w:val="000000" w:themeColor="text1"/>
        </w:rPr>
        <w:t xml:space="preserve"> at the end</w:t>
      </w:r>
      <w:r w:rsidR="004F7EB1" w:rsidRPr="009E3615">
        <w:rPr>
          <w:color w:val="000000" w:themeColor="text1"/>
        </w:rPr>
        <w:t xml:space="preserve"> of the </w:t>
      </w:r>
      <w:r w:rsidR="002F0E26">
        <w:rPr>
          <w:color w:val="000000" w:themeColor="text1"/>
        </w:rPr>
        <w:t xml:space="preserve">TEG </w:t>
      </w:r>
      <w:r w:rsidR="004F7EB1" w:rsidRPr="009E3615">
        <w:rPr>
          <w:color w:val="000000" w:themeColor="text1"/>
        </w:rPr>
        <w:t xml:space="preserve">Learning Community project. Any unutilized funds in the project WBS will be returned to </w:t>
      </w:r>
      <w:r w:rsidR="00790B7B">
        <w:rPr>
          <w:color w:val="000000" w:themeColor="text1"/>
        </w:rPr>
        <w:t xml:space="preserve">the </w:t>
      </w:r>
      <w:r w:rsidR="004F7EB1" w:rsidRPr="009E3615">
        <w:rPr>
          <w:color w:val="000000" w:themeColor="text1"/>
        </w:rPr>
        <w:t xml:space="preserve">University OOE </w:t>
      </w:r>
      <w:r w:rsidR="00F87411">
        <w:rPr>
          <w:color w:val="000000" w:themeColor="text1"/>
        </w:rPr>
        <w:t xml:space="preserve">WBS </w:t>
      </w:r>
      <w:r w:rsidR="00494113">
        <w:rPr>
          <w:color w:val="000000" w:themeColor="text1"/>
        </w:rPr>
        <w:t>E-000-00-0005-02</w:t>
      </w:r>
      <w:r w:rsidR="00790B7B">
        <w:rPr>
          <w:color w:val="000000" w:themeColor="text1"/>
        </w:rPr>
        <w:t xml:space="preserve"> </w:t>
      </w:r>
      <w:r w:rsidR="004F7EB1" w:rsidRPr="009E3615">
        <w:rPr>
          <w:color w:val="000000" w:themeColor="text1"/>
        </w:rPr>
        <w:t>and the project WBS will be closed within 2 months.</w:t>
      </w:r>
      <w:r w:rsidR="00AD3766" w:rsidRPr="00AD3766">
        <w:t xml:space="preserve"> </w:t>
      </w:r>
    </w:p>
    <w:p w14:paraId="13287381" w14:textId="77777777" w:rsidR="00AD3766" w:rsidRDefault="00AD3766" w:rsidP="00AD3766">
      <w:pPr>
        <w:pStyle w:val="ListParagraph"/>
        <w:jc w:val="both"/>
      </w:pPr>
    </w:p>
    <w:p w14:paraId="11E3C8D3" w14:textId="47A1E58E" w:rsidR="00AD3766" w:rsidRPr="002300A1" w:rsidRDefault="00AD3766" w:rsidP="00AD3766">
      <w:pPr>
        <w:pStyle w:val="ListParagraph"/>
        <w:numPr>
          <w:ilvl w:val="0"/>
          <w:numId w:val="1"/>
        </w:numPr>
        <w:jc w:val="both"/>
        <w:rPr>
          <w:b/>
          <w:lang w:val="en-US"/>
        </w:rPr>
      </w:pPr>
      <w:r w:rsidRPr="002300A1">
        <w:rPr>
          <w:b/>
          <w:lang w:val="en-US"/>
        </w:rPr>
        <w:t>Example</w:t>
      </w:r>
      <w:r w:rsidR="009F6498" w:rsidRPr="002300A1">
        <w:rPr>
          <w:b/>
          <w:lang w:val="en-US"/>
        </w:rPr>
        <w:t>s</w:t>
      </w:r>
      <w:r w:rsidRPr="002300A1">
        <w:rPr>
          <w:b/>
          <w:lang w:val="en-US"/>
        </w:rPr>
        <w:t xml:space="preserve"> </w:t>
      </w:r>
      <w:r w:rsidR="009F6498" w:rsidRPr="002300A1">
        <w:rPr>
          <w:b/>
          <w:lang w:val="en-US"/>
        </w:rPr>
        <w:t xml:space="preserve">of </w:t>
      </w:r>
      <w:r w:rsidRPr="002300A1">
        <w:rPr>
          <w:b/>
          <w:lang w:val="en-US"/>
        </w:rPr>
        <w:t>Learning Communities</w:t>
      </w:r>
    </w:p>
    <w:p w14:paraId="149F0EEE" w14:textId="0049C152" w:rsidR="00531699" w:rsidRDefault="00531699" w:rsidP="009E3615">
      <w:pPr>
        <w:pStyle w:val="ListParagraph"/>
        <w:jc w:val="both"/>
        <w:rPr>
          <w:color w:val="000000" w:themeColor="text1"/>
        </w:rPr>
      </w:pPr>
      <w:r>
        <w:rPr>
          <w:color w:val="000000" w:themeColor="text1"/>
        </w:rPr>
        <w:t>CDTL started this initiative in FY</w:t>
      </w:r>
      <w:r w:rsidR="00C91FF4">
        <w:rPr>
          <w:color w:val="000000" w:themeColor="text1"/>
        </w:rPr>
        <w:t xml:space="preserve"> </w:t>
      </w:r>
      <w:r>
        <w:rPr>
          <w:color w:val="000000" w:themeColor="text1"/>
        </w:rPr>
        <w:t xml:space="preserve">2019/2020.  A list of supported </w:t>
      </w:r>
      <w:r w:rsidR="002F0E26">
        <w:rPr>
          <w:color w:val="000000" w:themeColor="text1"/>
        </w:rPr>
        <w:t xml:space="preserve">TEG </w:t>
      </w:r>
      <w:r>
        <w:rPr>
          <w:color w:val="000000" w:themeColor="text1"/>
        </w:rPr>
        <w:t xml:space="preserve">Learning Communities can be found </w:t>
      </w:r>
      <w:hyperlink r:id="rId9" w:history="1">
        <w:r w:rsidRPr="00531699">
          <w:rPr>
            <w:rStyle w:val="Hyperlink"/>
          </w:rPr>
          <w:t>here</w:t>
        </w:r>
      </w:hyperlink>
      <w:r>
        <w:rPr>
          <w:color w:val="000000" w:themeColor="text1"/>
        </w:rPr>
        <w:t>.</w:t>
      </w:r>
    </w:p>
    <w:p w14:paraId="75F3DEAA" w14:textId="77777777" w:rsidR="00531699" w:rsidRDefault="00531699" w:rsidP="009E3615">
      <w:pPr>
        <w:pStyle w:val="ListParagraph"/>
        <w:jc w:val="both"/>
        <w:rPr>
          <w:color w:val="000000" w:themeColor="text1"/>
        </w:rPr>
      </w:pPr>
    </w:p>
    <w:p w14:paraId="6A9BF987" w14:textId="5A0BAFF2" w:rsidR="009E3615" w:rsidRDefault="00C158D3" w:rsidP="009E3615">
      <w:pPr>
        <w:pStyle w:val="ListParagraph"/>
        <w:jc w:val="both"/>
        <w:rPr>
          <w:color w:val="000000" w:themeColor="text1"/>
        </w:rPr>
      </w:pPr>
      <w:r>
        <w:rPr>
          <w:color w:val="000000" w:themeColor="text1"/>
        </w:rPr>
        <w:t>Since</w:t>
      </w:r>
      <w:r w:rsidR="00531699">
        <w:rPr>
          <w:color w:val="000000" w:themeColor="text1"/>
        </w:rPr>
        <w:t xml:space="preserve"> </w:t>
      </w:r>
      <w:r w:rsidR="002F0E26">
        <w:rPr>
          <w:color w:val="000000" w:themeColor="text1"/>
        </w:rPr>
        <w:t xml:space="preserve">TEG </w:t>
      </w:r>
      <w:r w:rsidR="00AD3766">
        <w:rPr>
          <w:color w:val="000000" w:themeColor="text1"/>
        </w:rPr>
        <w:t xml:space="preserve">Learning Communities </w:t>
      </w:r>
      <w:r>
        <w:rPr>
          <w:color w:val="000000" w:themeColor="text1"/>
        </w:rPr>
        <w:t xml:space="preserve">can </w:t>
      </w:r>
      <w:r w:rsidR="00AD3766">
        <w:rPr>
          <w:color w:val="000000" w:themeColor="text1"/>
        </w:rPr>
        <w:t>come under different names and guises</w:t>
      </w:r>
      <w:r>
        <w:rPr>
          <w:color w:val="000000" w:themeColor="text1"/>
        </w:rPr>
        <w:t>,</w:t>
      </w:r>
      <w:r w:rsidR="00AD3766">
        <w:rPr>
          <w:color w:val="000000" w:themeColor="text1"/>
        </w:rPr>
        <w:t xml:space="preserve"> the following websites from the Universities of </w:t>
      </w:r>
      <w:r w:rsidR="00185A02">
        <w:rPr>
          <w:color w:val="000000" w:themeColor="text1"/>
        </w:rPr>
        <w:t xml:space="preserve">Arizona, Miami and </w:t>
      </w:r>
      <w:r w:rsidR="00AD3766">
        <w:rPr>
          <w:color w:val="000000" w:themeColor="text1"/>
        </w:rPr>
        <w:t xml:space="preserve">San Francisco </w:t>
      </w:r>
      <w:r>
        <w:rPr>
          <w:color w:val="000000" w:themeColor="text1"/>
        </w:rPr>
        <w:t>provide some</w:t>
      </w:r>
      <w:r w:rsidR="00AD3766">
        <w:rPr>
          <w:color w:val="000000" w:themeColor="text1"/>
        </w:rPr>
        <w:t xml:space="preserve"> examples that may be helpful in your application. As noted in the University of San Francisco website, a key to </w:t>
      </w:r>
      <w:r w:rsidR="00892071">
        <w:rPr>
          <w:color w:val="000000" w:themeColor="text1"/>
        </w:rPr>
        <w:t xml:space="preserve">a </w:t>
      </w:r>
      <w:r w:rsidR="00AD3766">
        <w:rPr>
          <w:color w:val="000000" w:themeColor="text1"/>
        </w:rPr>
        <w:t>successful Learning Community is “t</w:t>
      </w:r>
      <w:r w:rsidR="00AD3766" w:rsidRPr="00AD3766">
        <w:rPr>
          <w:color w:val="000000" w:themeColor="text1"/>
        </w:rPr>
        <w:t>o make a topic broad enough to invite participation across disciplines and schools, but narrow enough to lead to significant benefits for faculty and students</w:t>
      </w:r>
      <w:r w:rsidR="00AD3766">
        <w:rPr>
          <w:color w:val="000000" w:themeColor="text1"/>
        </w:rPr>
        <w:t>”</w:t>
      </w:r>
      <w:r w:rsidR="00AD3766" w:rsidRPr="00AD3766">
        <w:rPr>
          <w:color w:val="000000" w:themeColor="text1"/>
        </w:rPr>
        <w:t>.</w:t>
      </w:r>
    </w:p>
    <w:p w14:paraId="7CC096B1" w14:textId="1FA37DF7" w:rsidR="00AD3766" w:rsidRDefault="00AD3766" w:rsidP="009E3615">
      <w:pPr>
        <w:pStyle w:val="ListParagraph"/>
        <w:jc w:val="both"/>
        <w:rPr>
          <w:color w:val="000000" w:themeColor="text1"/>
        </w:rPr>
      </w:pPr>
    </w:p>
    <w:tbl>
      <w:tblPr>
        <w:tblStyle w:val="TableGrid"/>
        <w:tblW w:w="0" w:type="auto"/>
        <w:tblInd w:w="720" w:type="dxa"/>
        <w:tblLook w:val="04A0" w:firstRow="1" w:lastRow="0" w:firstColumn="1" w:lastColumn="0" w:noHBand="0" w:noVBand="1"/>
      </w:tblPr>
      <w:tblGrid>
        <w:gridCol w:w="4063"/>
        <w:gridCol w:w="4227"/>
      </w:tblGrid>
      <w:tr w:rsidR="00B019A3" w14:paraId="087E85C5" w14:textId="77777777" w:rsidTr="009F6498">
        <w:tc>
          <w:tcPr>
            <w:tcW w:w="1827" w:type="dxa"/>
            <w:shd w:val="clear" w:color="auto" w:fill="D9D9D9" w:themeFill="background1" w:themeFillShade="D9"/>
          </w:tcPr>
          <w:p w14:paraId="51A9B1FF" w14:textId="2465AFFD" w:rsidR="00B019A3" w:rsidRPr="009F6498" w:rsidRDefault="00B019A3" w:rsidP="009E3615">
            <w:pPr>
              <w:pStyle w:val="ListParagraph"/>
              <w:ind w:left="0"/>
              <w:jc w:val="both"/>
              <w:rPr>
                <w:b/>
                <w:color w:val="000000" w:themeColor="text1"/>
              </w:rPr>
            </w:pPr>
            <w:r w:rsidRPr="009F6498">
              <w:rPr>
                <w:b/>
                <w:color w:val="000000" w:themeColor="text1"/>
              </w:rPr>
              <w:t>Resource</w:t>
            </w:r>
          </w:p>
        </w:tc>
        <w:tc>
          <w:tcPr>
            <w:tcW w:w="6463" w:type="dxa"/>
            <w:shd w:val="clear" w:color="auto" w:fill="D9D9D9" w:themeFill="background1" w:themeFillShade="D9"/>
          </w:tcPr>
          <w:p w14:paraId="761E6E68" w14:textId="6959FC56" w:rsidR="00B019A3" w:rsidRPr="009F6498" w:rsidRDefault="00B019A3" w:rsidP="009E3615">
            <w:pPr>
              <w:pStyle w:val="ListParagraph"/>
              <w:ind w:left="0"/>
              <w:jc w:val="both"/>
              <w:rPr>
                <w:b/>
                <w:color w:val="000000" w:themeColor="text1"/>
              </w:rPr>
            </w:pPr>
            <w:r w:rsidRPr="009F6498">
              <w:rPr>
                <w:b/>
                <w:color w:val="000000" w:themeColor="text1"/>
              </w:rPr>
              <w:t>Description</w:t>
            </w:r>
          </w:p>
        </w:tc>
      </w:tr>
      <w:tr w:rsidR="00B019A3" w14:paraId="7CF8D6D7" w14:textId="77777777" w:rsidTr="00B019A3">
        <w:tc>
          <w:tcPr>
            <w:tcW w:w="1827" w:type="dxa"/>
          </w:tcPr>
          <w:p w14:paraId="74AB2870" w14:textId="22926163" w:rsidR="00B019A3" w:rsidRDefault="00B019A3" w:rsidP="00B019A3">
            <w:pPr>
              <w:rPr>
                <w:rStyle w:val="Hyperlink"/>
              </w:rPr>
            </w:pPr>
            <w:r w:rsidRPr="00B019A3">
              <w:rPr>
                <w:b/>
                <w:color w:val="000000" w:themeColor="text1"/>
              </w:rPr>
              <w:t>University of Arizona:</w:t>
            </w:r>
            <w:r w:rsidRPr="00B019A3">
              <w:rPr>
                <w:color w:val="000000" w:themeColor="text1"/>
              </w:rPr>
              <w:t xml:space="preserve"> </w:t>
            </w:r>
            <w:hyperlink r:id="rId10" w:history="1">
              <w:r w:rsidRPr="004B1D71">
                <w:rPr>
                  <w:rStyle w:val="Hyperlink"/>
                </w:rPr>
                <w:t>https://academicaffairs.arizona.edu/flc</w:t>
              </w:r>
            </w:hyperlink>
            <w:r>
              <w:t xml:space="preserve"> </w:t>
            </w:r>
          </w:p>
          <w:p w14:paraId="78DE7EF3" w14:textId="77777777" w:rsidR="00B019A3" w:rsidRDefault="00B019A3" w:rsidP="009E3615">
            <w:pPr>
              <w:pStyle w:val="ListParagraph"/>
              <w:ind w:left="0"/>
              <w:jc w:val="both"/>
              <w:rPr>
                <w:color w:val="000000" w:themeColor="text1"/>
              </w:rPr>
            </w:pPr>
          </w:p>
        </w:tc>
        <w:tc>
          <w:tcPr>
            <w:tcW w:w="6463" w:type="dxa"/>
          </w:tcPr>
          <w:p w14:paraId="0AB92CD0" w14:textId="66A3E81A" w:rsidR="00B019A3" w:rsidRDefault="00B019A3" w:rsidP="009E3615">
            <w:pPr>
              <w:pStyle w:val="ListParagraph"/>
              <w:ind w:left="0"/>
              <w:jc w:val="both"/>
              <w:rPr>
                <w:color w:val="000000" w:themeColor="text1"/>
              </w:rPr>
            </w:pPr>
            <w:r>
              <w:rPr>
                <w:color w:val="000000" w:themeColor="text1"/>
              </w:rPr>
              <w:t xml:space="preserve">This website houses </w:t>
            </w:r>
            <w:r w:rsidR="009F6498">
              <w:rPr>
                <w:color w:val="000000" w:themeColor="text1"/>
              </w:rPr>
              <w:t xml:space="preserve">useful resources pertaining to </w:t>
            </w:r>
            <w:r>
              <w:rPr>
                <w:color w:val="000000" w:themeColor="text1"/>
              </w:rPr>
              <w:t>the faculty learning community</w:t>
            </w:r>
            <w:r w:rsidR="009F6498">
              <w:rPr>
                <w:color w:val="000000" w:themeColor="text1"/>
              </w:rPr>
              <w:t xml:space="preserve"> of</w:t>
            </w:r>
            <w:r>
              <w:rPr>
                <w:color w:val="000000" w:themeColor="text1"/>
              </w:rPr>
              <w:t xml:space="preserve"> UA colleagues</w:t>
            </w:r>
            <w:r w:rsidR="009F6498">
              <w:rPr>
                <w:color w:val="000000" w:themeColor="text1"/>
              </w:rPr>
              <w:t xml:space="preserve">. </w:t>
            </w:r>
          </w:p>
        </w:tc>
      </w:tr>
      <w:tr w:rsidR="00B019A3" w14:paraId="7ABB8741" w14:textId="77777777" w:rsidTr="00B019A3">
        <w:tc>
          <w:tcPr>
            <w:tcW w:w="1827" w:type="dxa"/>
          </w:tcPr>
          <w:p w14:paraId="0E843B8A" w14:textId="77777777" w:rsidR="009F6498" w:rsidRDefault="009F6498" w:rsidP="009F6498">
            <w:pPr>
              <w:rPr>
                <w:rStyle w:val="Hyperlink"/>
              </w:rPr>
            </w:pPr>
            <w:r w:rsidRPr="009F6498">
              <w:rPr>
                <w:b/>
                <w:color w:val="000000" w:themeColor="text1"/>
              </w:rPr>
              <w:t>University of Miami:</w:t>
            </w:r>
            <w:r w:rsidRPr="009F6498">
              <w:rPr>
                <w:color w:val="000000" w:themeColor="text1"/>
              </w:rPr>
              <w:t xml:space="preserve"> </w:t>
            </w:r>
            <w:hyperlink r:id="rId11" w:history="1">
              <w:r w:rsidRPr="008B31A9">
                <w:rPr>
                  <w:rStyle w:val="Hyperlink"/>
                </w:rPr>
                <w:t>https://miamioh.edu/cte/faculty-staff/flcs/index.html</w:t>
              </w:r>
            </w:hyperlink>
          </w:p>
          <w:p w14:paraId="7156E78B" w14:textId="77777777" w:rsidR="00B019A3" w:rsidRDefault="00B019A3" w:rsidP="009E3615">
            <w:pPr>
              <w:pStyle w:val="ListParagraph"/>
              <w:ind w:left="0"/>
              <w:jc w:val="both"/>
              <w:rPr>
                <w:color w:val="000000" w:themeColor="text1"/>
              </w:rPr>
            </w:pPr>
          </w:p>
        </w:tc>
        <w:tc>
          <w:tcPr>
            <w:tcW w:w="6463" w:type="dxa"/>
          </w:tcPr>
          <w:p w14:paraId="2DFDC000" w14:textId="394406C0" w:rsidR="00B019A3" w:rsidRDefault="009F6498" w:rsidP="009E3615">
            <w:pPr>
              <w:pStyle w:val="ListParagraph"/>
              <w:ind w:left="0"/>
              <w:jc w:val="both"/>
              <w:rPr>
                <w:color w:val="000000" w:themeColor="text1"/>
              </w:rPr>
            </w:pPr>
            <w:r>
              <w:rPr>
                <w:color w:val="000000" w:themeColor="text1"/>
              </w:rPr>
              <w:t>Provides clear and succinct explanations on faculty learning communities (FLCs) and useful ideas on their implementation.</w:t>
            </w:r>
          </w:p>
        </w:tc>
      </w:tr>
      <w:tr w:rsidR="009F6498" w14:paraId="428D1F51" w14:textId="77777777" w:rsidTr="00B019A3">
        <w:tc>
          <w:tcPr>
            <w:tcW w:w="1827" w:type="dxa"/>
          </w:tcPr>
          <w:p w14:paraId="3A006BC0" w14:textId="77777777" w:rsidR="009F6498" w:rsidRPr="009F6498" w:rsidRDefault="009F6498" w:rsidP="009F6498">
            <w:pPr>
              <w:rPr>
                <w:color w:val="000000" w:themeColor="text1"/>
              </w:rPr>
            </w:pPr>
            <w:r w:rsidRPr="009F6498">
              <w:rPr>
                <w:b/>
                <w:color w:val="000000" w:themeColor="text1"/>
              </w:rPr>
              <w:t>University of San Francisco:</w:t>
            </w:r>
            <w:r w:rsidRPr="009F6498">
              <w:rPr>
                <w:color w:val="000000" w:themeColor="text1"/>
              </w:rPr>
              <w:t xml:space="preserve"> </w:t>
            </w:r>
          </w:p>
          <w:p w14:paraId="648CFF74" w14:textId="3D328568" w:rsidR="009F6498" w:rsidRPr="009F6498" w:rsidRDefault="00000000" w:rsidP="009F6498">
            <w:pPr>
              <w:rPr>
                <w:b/>
                <w:color w:val="000000" w:themeColor="text1"/>
              </w:rPr>
            </w:pPr>
            <w:hyperlink r:id="rId12" w:history="1">
              <w:r w:rsidR="009F6498" w:rsidRPr="00F961EF">
                <w:rPr>
                  <w:rStyle w:val="Hyperlink"/>
                </w:rPr>
                <w:t>https://myusf.usfca.edu/cte/programs-and-resources/faculty-learning-communities</w:t>
              </w:r>
            </w:hyperlink>
          </w:p>
        </w:tc>
        <w:tc>
          <w:tcPr>
            <w:tcW w:w="6463" w:type="dxa"/>
          </w:tcPr>
          <w:p w14:paraId="1030FE01" w14:textId="18185DA5" w:rsidR="009F6498" w:rsidRDefault="009F6498" w:rsidP="009E3615">
            <w:pPr>
              <w:pStyle w:val="ListParagraph"/>
              <w:ind w:left="0"/>
              <w:jc w:val="both"/>
              <w:rPr>
                <w:color w:val="000000" w:themeColor="text1"/>
              </w:rPr>
            </w:pPr>
            <w:r>
              <w:rPr>
                <w:color w:val="000000" w:themeColor="text1"/>
              </w:rPr>
              <w:t>Another useful website with descriptive examples of FLCs.</w:t>
            </w:r>
          </w:p>
        </w:tc>
      </w:tr>
    </w:tbl>
    <w:p w14:paraId="5E242E97" w14:textId="2D1C4A19" w:rsidR="00B019A3" w:rsidRDefault="00B019A3" w:rsidP="009E3615">
      <w:pPr>
        <w:pStyle w:val="ListParagraph"/>
        <w:jc w:val="both"/>
        <w:rPr>
          <w:color w:val="000000" w:themeColor="text1"/>
        </w:rPr>
      </w:pPr>
    </w:p>
    <w:p w14:paraId="3153627F" w14:textId="77777777" w:rsidR="00B019A3" w:rsidRDefault="00B019A3" w:rsidP="009E3615">
      <w:pPr>
        <w:pStyle w:val="ListParagraph"/>
        <w:jc w:val="both"/>
        <w:rPr>
          <w:color w:val="000000" w:themeColor="text1"/>
        </w:rPr>
      </w:pPr>
    </w:p>
    <w:p w14:paraId="22EAEF8F" w14:textId="259E03B1" w:rsidR="00185A02" w:rsidRDefault="00185A02" w:rsidP="00E074A8">
      <w:pPr>
        <w:pStyle w:val="ListParagraph"/>
      </w:pPr>
    </w:p>
    <w:p w14:paraId="5D52E269" w14:textId="77777777" w:rsidR="00E074A8" w:rsidRDefault="00E074A8" w:rsidP="00E074A8">
      <w:pPr>
        <w:pStyle w:val="ListParagraph"/>
        <w:rPr>
          <w:color w:val="000000" w:themeColor="text1"/>
        </w:rPr>
      </w:pPr>
    </w:p>
    <w:p w14:paraId="29F51432" w14:textId="77777777" w:rsidR="000A144A" w:rsidRPr="0054334C" w:rsidRDefault="000A144A" w:rsidP="0054334C">
      <w:pPr>
        <w:jc w:val="both"/>
        <w:rPr>
          <w:color w:val="000000" w:themeColor="text1"/>
        </w:rPr>
      </w:pPr>
    </w:p>
    <w:sectPr w:rsidR="000A144A" w:rsidRPr="0054334C" w:rsidSect="007D2F55">
      <w:headerReference w:type="even" r:id="rId13"/>
      <w:headerReference w:type="default" r:id="rId14"/>
      <w:footerReference w:type="even" r:id="rId15"/>
      <w:footerReference w:type="default" r:id="rId16"/>
      <w:headerReference w:type="first" r:id="rId17"/>
      <w:footerReference w:type="first" r:id="rId1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9D034" w14:textId="77777777" w:rsidR="00012A51" w:rsidRDefault="00012A51" w:rsidP="00387806">
      <w:r>
        <w:separator/>
      </w:r>
    </w:p>
  </w:endnote>
  <w:endnote w:type="continuationSeparator" w:id="0">
    <w:p w14:paraId="2CFBC0B9" w14:textId="77777777" w:rsidR="00012A51" w:rsidRDefault="00012A51" w:rsidP="00387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09846180"/>
      <w:docPartObj>
        <w:docPartGallery w:val="Page Numbers (Bottom of Page)"/>
        <w:docPartUnique/>
      </w:docPartObj>
    </w:sdtPr>
    <w:sdtContent>
      <w:p w14:paraId="20BDE120" w14:textId="77777777" w:rsidR="00007E5F" w:rsidRDefault="00007E5F" w:rsidP="005A598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725521" w14:textId="77777777" w:rsidR="00007E5F" w:rsidRDefault="00007E5F" w:rsidP="00007E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5927017"/>
      <w:docPartObj>
        <w:docPartGallery w:val="Page Numbers (Bottom of Page)"/>
        <w:docPartUnique/>
      </w:docPartObj>
    </w:sdtPr>
    <w:sdtContent>
      <w:p w14:paraId="262916C5" w14:textId="12505298" w:rsidR="00007E5F" w:rsidRDefault="00007E5F" w:rsidP="005A598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34E23">
          <w:rPr>
            <w:rStyle w:val="PageNumber"/>
            <w:noProof/>
          </w:rPr>
          <w:t>4</w:t>
        </w:r>
        <w:r>
          <w:rPr>
            <w:rStyle w:val="PageNumber"/>
          </w:rPr>
          <w:fldChar w:fldCharType="end"/>
        </w:r>
      </w:p>
    </w:sdtContent>
  </w:sdt>
  <w:p w14:paraId="115B5BD6" w14:textId="77777777" w:rsidR="00007E5F" w:rsidRDefault="00007E5F" w:rsidP="00007E5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0A89E" w14:textId="77777777" w:rsidR="00D7593E" w:rsidRDefault="00D759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B7456" w14:textId="77777777" w:rsidR="00012A51" w:rsidRDefault="00012A51" w:rsidP="00387806">
      <w:r>
        <w:separator/>
      </w:r>
    </w:p>
  </w:footnote>
  <w:footnote w:type="continuationSeparator" w:id="0">
    <w:p w14:paraId="01FEACF3" w14:textId="77777777" w:rsidR="00012A51" w:rsidRDefault="00012A51" w:rsidP="00387806">
      <w:r>
        <w:continuationSeparator/>
      </w:r>
    </w:p>
  </w:footnote>
  <w:footnote w:id="1">
    <w:p w14:paraId="2BF8BF8E" w14:textId="5EFA8552" w:rsidR="00AD3766" w:rsidRPr="00AD3766" w:rsidRDefault="00AD3766">
      <w:pPr>
        <w:pStyle w:val="FootnoteText"/>
        <w:rPr>
          <w:lang w:val="en-US"/>
        </w:rPr>
      </w:pPr>
      <w:r>
        <w:rPr>
          <w:rStyle w:val="FootnoteReference"/>
        </w:rPr>
        <w:footnoteRef/>
      </w:r>
      <w:r>
        <w:t xml:space="preserve"> </w:t>
      </w:r>
      <w:r w:rsidRPr="002054A4">
        <w:rPr>
          <w:color w:val="000000" w:themeColor="text1"/>
        </w:rPr>
        <w:t>No more than $</w:t>
      </w:r>
      <w:r w:rsidR="001128D5" w:rsidRPr="002054A4">
        <w:rPr>
          <w:color w:val="000000" w:themeColor="text1"/>
        </w:rPr>
        <w:t>10</w:t>
      </w:r>
      <w:r w:rsidR="00846C02" w:rsidRPr="002054A4">
        <w:rPr>
          <w:color w:val="000000" w:themeColor="text1"/>
        </w:rPr>
        <w:t xml:space="preserve"> (</w:t>
      </w:r>
      <w:proofErr w:type="spellStart"/>
      <w:r w:rsidR="00846C02" w:rsidRPr="002054A4">
        <w:rPr>
          <w:color w:val="000000" w:themeColor="text1"/>
        </w:rPr>
        <w:t>incl</w:t>
      </w:r>
      <w:proofErr w:type="spellEnd"/>
      <w:r w:rsidR="00846C02" w:rsidRPr="002054A4">
        <w:rPr>
          <w:color w:val="000000" w:themeColor="text1"/>
        </w:rPr>
        <w:t xml:space="preserve"> GST</w:t>
      </w:r>
      <w:r w:rsidR="00640CD7" w:rsidRPr="002054A4">
        <w:rPr>
          <w:color w:val="000000" w:themeColor="text1"/>
        </w:rPr>
        <w:t>, delivery charges</w:t>
      </w:r>
      <w:r w:rsidR="002C2A8B" w:rsidRPr="002054A4">
        <w:rPr>
          <w:color w:val="000000" w:themeColor="text1"/>
        </w:rPr>
        <w:t xml:space="preserve">, </w:t>
      </w:r>
      <w:r w:rsidR="007955D8" w:rsidRPr="002054A4">
        <w:rPr>
          <w:color w:val="000000" w:themeColor="text1"/>
        </w:rPr>
        <w:t>etc.</w:t>
      </w:r>
      <w:r w:rsidR="00846C02" w:rsidRPr="002054A4">
        <w:rPr>
          <w:color w:val="000000" w:themeColor="text1"/>
        </w:rPr>
        <w:t>)</w:t>
      </w:r>
      <w:r w:rsidRPr="002054A4">
        <w:rPr>
          <w:color w:val="000000" w:themeColor="text1"/>
        </w:rPr>
        <w:t xml:space="preserve"> per member per</w:t>
      </w:r>
      <w:r>
        <w:rPr>
          <w:color w:val="000000" w:themeColor="text1"/>
        </w:rPr>
        <w:t xml:space="preserve"> meeting.</w:t>
      </w:r>
    </w:p>
  </w:footnote>
  <w:footnote w:id="2">
    <w:p w14:paraId="00D96915" w14:textId="640F964B" w:rsidR="009E3615" w:rsidRPr="009E3615" w:rsidRDefault="009E3615">
      <w:pPr>
        <w:pStyle w:val="FootnoteText"/>
        <w:rPr>
          <w:lang w:val="en-US"/>
        </w:rPr>
      </w:pPr>
      <w:r>
        <w:rPr>
          <w:rStyle w:val="FootnoteReference"/>
        </w:rPr>
        <w:footnoteRef/>
      </w:r>
      <w:r>
        <w:t xml:space="preserve"> </w:t>
      </w:r>
      <w:r w:rsidR="006E28EB">
        <w:rPr>
          <w:lang w:val="en-US"/>
        </w:rPr>
        <w:t xml:space="preserve">Please see </w:t>
      </w:r>
      <w:hyperlink r:id="rId1" w:history="1">
        <w:r w:rsidR="006E28EB" w:rsidRPr="006E28EB">
          <w:rPr>
            <w:rStyle w:val="Hyperlink"/>
            <w:lang w:val="en-US"/>
          </w:rPr>
          <w:t>d</w:t>
        </w:r>
        <w:r w:rsidRPr="006E28EB">
          <w:rPr>
            <w:rStyle w:val="Hyperlink"/>
            <w:lang w:val="en-US"/>
          </w:rPr>
          <w:t>etails</w:t>
        </w:r>
      </w:hyperlink>
      <w:r w:rsidRPr="0033791D">
        <w:rPr>
          <w:lang w:val="en-US"/>
        </w:rPr>
        <w:t xml:space="preserve"> </w:t>
      </w:r>
      <w:r w:rsidR="006E28EB">
        <w:rPr>
          <w:lang w:val="en-US"/>
        </w:rPr>
        <w:t xml:space="preserve">and the </w:t>
      </w:r>
      <w:hyperlink r:id="rId2" w:history="1">
        <w:r w:rsidR="006E28EB" w:rsidRPr="006E28EB">
          <w:rPr>
            <w:rStyle w:val="Hyperlink"/>
            <w:lang w:val="en-US"/>
          </w:rPr>
          <w:t>recommended hourly rates</w:t>
        </w:r>
      </w:hyperlink>
      <w:r w:rsidR="006E28EB">
        <w:rPr>
          <w:lang w:val="en-US"/>
        </w:rPr>
        <w:t xml:space="preserve"> for</w:t>
      </w:r>
      <w:r w:rsidRPr="0033791D">
        <w:rPr>
          <w:lang w:val="en-US"/>
        </w:rPr>
        <w:t xml:space="preserve"> </w:t>
      </w:r>
      <w:r>
        <w:rPr>
          <w:lang w:val="en-US"/>
        </w:rPr>
        <w:t xml:space="preserve">the </w:t>
      </w:r>
      <w:r w:rsidRPr="0033791D">
        <w:rPr>
          <w:lang w:val="en-US"/>
        </w:rPr>
        <w:t xml:space="preserve">NUS Student Work Scheme </w:t>
      </w:r>
      <w:r w:rsidR="006E28EB">
        <w:rPr>
          <w:lang w:val="en-US"/>
        </w:rPr>
        <w:t xml:space="preserve">(NSWS) </w:t>
      </w:r>
      <w:r w:rsidRPr="0033791D">
        <w:rPr>
          <w:lang w:val="en-US"/>
        </w:rPr>
        <w:t xml:space="preserve">for NUS Undergraduate </w:t>
      </w:r>
      <w:r>
        <w:rPr>
          <w:lang w:val="en-US"/>
        </w:rPr>
        <w:t>and</w:t>
      </w:r>
      <w:r w:rsidRPr="0033791D">
        <w:rPr>
          <w:lang w:val="en-US"/>
        </w:rPr>
        <w:t xml:space="preserve"> Graduate Students </w:t>
      </w:r>
      <w:r>
        <w:rPr>
          <w:lang w:val="en-US"/>
        </w:rPr>
        <w:t>relevant for Learning Communities interested in engaging research assistance</w:t>
      </w:r>
      <w:r w:rsidR="006E28EB">
        <w:rPr>
          <w:lang w:val="en-US"/>
        </w:rPr>
        <w:t xml:space="preserve"> </w:t>
      </w:r>
    </w:p>
  </w:footnote>
  <w:footnote w:id="3">
    <w:p w14:paraId="2FA0EA7A" w14:textId="0ECBF151" w:rsidR="00AD3766" w:rsidRPr="00AD3766" w:rsidRDefault="00AD3766">
      <w:pPr>
        <w:pStyle w:val="FootnoteText"/>
        <w:rPr>
          <w:lang w:val="en-US"/>
        </w:rPr>
      </w:pPr>
      <w:r>
        <w:rPr>
          <w:rStyle w:val="FootnoteReference"/>
        </w:rPr>
        <w:footnoteRef/>
      </w:r>
      <w:r>
        <w:t xml:space="preserve"> Up to a maximum $5,000 and </w:t>
      </w:r>
      <w:r w:rsidRPr="009E3615">
        <w:rPr>
          <w:color w:val="000000" w:themeColor="text1"/>
        </w:rPr>
        <w:t>subject to CDTL approval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905B6" w14:textId="77777777" w:rsidR="00D7593E" w:rsidRDefault="00D759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21CA1" w14:textId="77777777" w:rsidR="00387806" w:rsidRPr="00387806" w:rsidRDefault="00387806" w:rsidP="00387806">
    <w:pPr>
      <w:pStyle w:val="Header"/>
      <w:jc w:val="right"/>
      <w:rPr>
        <w:lang w:val="en-US"/>
      </w:rPr>
    </w:pPr>
    <w:r>
      <w:rPr>
        <w:lang w:val="en-US"/>
      </w:rPr>
      <w:t>[NUS Internal]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D7791" w14:textId="77777777" w:rsidR="00D7593E" w:rsidRDefault="00D759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7368C"/>
    <w:multiLevelType w:val="multilevel"/>
    <w:tmpl w:val="8A1613B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43821ED9"/>
    <w:multiLevelType w:val="hybridMultilevel"/>
    <w:tmpl w:val="770EF1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B8619FB"/>
    <w:multiLevelType w:val="hybridMultilevel"/>
    <w:tmpl w:val="262005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6AF5D67"/>
    <w:multiLevelType w:val="hybridMultilevel"/>
    <w:tmpl w:val="295886D4"/>
    <w:lvl w:ilvl="0" w:tplc="03029D90">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773D42CB"/>
    <w:multiLevelType w:val="hybridMultilevel"/>
    <w:tmpl w:val="2B00F22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6038134">
    <w:abstractNumId w:val="4"/>
  </w:num>
  <w:num w:numId="2" w16cid:durableId="1515610643">
    <w:abstractNumId w:val="2"/>
  </w:num>
  <w:num w:numId="3" w16cid:durableId="190532527">
    <w:abstractNumId w:val="1"/>
  </w:num>
  <w:num w:numId="4" w16cid:durableId="1542211789">
    <w:abstractNumId w:val="3"/>
  </w:num>
  <w:num w:numId="5" w16cid:durableId="1452702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806"/>
    <w:rsid w:val="000006AF"/>
    <w:rsid w:val="00007E5F"/>
    <w:rsid w:val="00012A51"/>
    <w:rsid w:val="00013B84"/>
    <w:rsid w:val="000466FF"/>
    <w:rsid w:val="000561BA"/>
    <w:rsid w:val="0006750C"/>
    <w:rsid w:val="000A144A"/>
    <w:rsid w:val="000A29ED"/>
    <w:rsid w:val="000A3ED4"/>
    <w:rsid w:val="000A47BA"/>
    <w:rsid w:val="000A762B"/>
    <w:rsid w:val="000B5B06"/>
    <w:rsid w:val="001008A4"/>
    <w:rsid w:val="001111F1"/>
    <w:rsid w:val="001128D5"/>
    <w:rsid w:val="0014097E"/>
    <w:rsid w:val="00144E39"/>
    <w:rsid w:val="0016190B"/>
    <w:rsid w:val="00180325"/>
    <w:rsid w:val="00185A02"/>
    <w:rsid w:val="00186599"/>
    <w:rsid w:val="001A1275"/>
    <w:rsid w:val="001C394C"/>
    <w:rsid w:val="001D0B60"/>
    <w:rsid w:val="001F0456"/>
    <w:rsid w:val="002054A4"/>
    <w:rsid w:val="0022064D"/>
    <w:rsid w:val="002300A1"/>
    <w:rsid w:val="00230B9A"/>
    <w:rsid w:val="00231E96"/>
    <w:rsid w:val="00236F45"/>
    <w:rsid w:val="00265B46"/>
    <w:rsid w:val="00266762"/>
    <w:rsid w:val="00291FFF"/>
    <w:rsid w:val="002A17D7"/>
    <w:rsid w:val="002B512D"/>
    <w:rsid w:val="002C2A8B"/>
    <w:rsid w:val="002D0529"/>
    <w:rsid w:val="002E7752"/>
    <w:rsid w:val="002F0E26"/>
    <w:rsid w:val="00324DF0"/>
    <w:rsid w:val="00336072"/>
    <w:rsid w:val="0033791D"/>
    <w:rsid w:val="003511E4"/>
    <w:rsid w:val="003651CA"/>
    <w:rsid w:val="00380276"/>
    <w:rsid w:val="003852B7"/>
    <w:rsid w:val="00387806"/>
    <w:rsid w:val="003B0A0C"/>
    <w:rsid w:val="003D61F5"/>
    <w:rsid w:val="003E54A2"/>
    <w:rsid w:val="0040654F"/>
    <w:rsid w:val="00410B1D"/>
    <w:rsid w:val="00420AA1"/>
    <w:rsid w:val="00423A8D"/>
    <w:rsid w:val="004306FF"/>
    <w:rsid w:val="0044664C"/>
    <w:rsid w:val="004555EE"/>
    <w:rsid w:val="00460CED"/>
    <w:rsid w:val="00473E84"/>
    <w:rsid w:val="00474BF8"/>
    <w:rsid w:val="00480FCC"/>
    <w:rsid w:val="00484ED3"/>
    <w:rsid w:val="00487161"/>
    <w:rsid w:val="00494113"/>
    <w:rsid w:val="00496E89"/>
    <w:rsid w:val="004A026F"/>
    <w:rsid w:val="004A323F"/>
    <w:rsid w:val="004C1A07"/>
    <w:rsid w:val="004C4CEB"/>
    <w:rsid w:val="004E1D2C"/>
    <w:rsid w:val="004F041F"/>
    <w:rsid w:val="004F35A0"/>
    <w:rsid w:val="004F7EB1"/>
    <w:rsid w:val="005021E4"/>
    <w:rsid w:val="00531699"/>
    <w:rsid w:val="00532A98"/>
    <w:rsid w:val="00534E23"/>
    <w:rsid w:val="005378C7"/>
    <w:rsid w:val="005410CD"/>
    <w:rsid w:val="0054334C"/>
    <w:rsid w:val="00543355"/>
    <w:rsid w:val="00567BDA"/>
    <w:rsid w:val="00583767"/>
    <w:rsid w:val="00590C38"/>
    <w:rsid w:val="00590D1A"/>
    <w:rsid w:val="005A5DA6"/>
    <w:rsid w:val="005E1379"/>
    <w:rsid w:val="00606486"/>
    <w:rsid w:val="00610275"/>
    <w:rsid w:val="00636FEB"/>
    <w:rsid w:val="00637042"/>
    <w:rsid w:val="00640CD7"/>
    <w:rsid w:val="006513A1"/>
    <w:rsid w:val="006651DA"/>
    <w:rsid w:val="00683E55"/>
    <w:rsid w:val="00691B2A"/>
    <w:rsid w:val="006C1444"/>
    <w:rsid w:val="006D24D7"/>
    <w:rsid w:val="006D2CFE"/>
    <w:rsid w:val="006E28EB"/>
    <w:rsid w:val="006E34DF"/>
    <w:rsid w:val="006E39F3"/>
    <w:rsid w:val="006E5314"/>
    <w:rsid w:val="00711054"/>
    <w:rsid w:val="00717F72"/>
    <w:rsid w:val="00732F02"/>
    <w:rsid w:val="00735762"/>
    <w:rsid w:val="007561D8"/>
    <w:rsid w:val="0076786A"/>
    <w:rsid w:val="007815AE"/>
    <w:rsid w:val="00790B7B"/>
    <w:rsid w:val="007953C8"/>
    <w:rsid w:val="007955D8"/>
    <w:rsid w:val="007A7C3F"/>
    <w:rsid w:val="007B2595"/>
    <w:rsid w:val="007B741D"/>
    <w:rsid w:val="007C0157"/>
    <w:rsid w:val="007D1F84"/>
    <w:rsid w:val="007D2F55"/>
    <w:rsid w:val="007D7DEC"/>
    <w:rsid w:val="007E3243"/>
    <w:rsid w:val="0081590C"/>
    <w:rsid w:val="0082483B"/>
    <w:rsid w:val="00834CE8"/>
    <w:rsid w:val="00835A32"/>
    <w:rsid w:val="00843263"/>
    <w:rsid w:val="008447FC"/>
    <w:rsid w:val="00845FE6"/>
    <w:rsid w:val="00846C02"/>
    <w:rsid w:val="00873705"/>
    <w:rsid w:val="00886DB7"/>
    <w:rsid w:val="00892071"/>
    <w:rsid w:val="008C6AB0"/>
    <w:rsid w:val="008D2357"/>
    <w:rsid w:val="008D65E8"/>
    <w:rsid w:val="008E399C"/>
    <w:rsid w:val="009177B2"/>
    <w:rsid w:val="00923324"/>
    <w:rsid w:val="0093103A"/>
    <w:rsid w:val="0094745D"/>
    <w:rsid w:val="009525E6"/>
    <w:rsid w:val="00954D4B"/>
    <w:rsid w:val="00964F0B"/>
    <w:rsid w:val="00966DA6"/>
    <w:rsid w:val="009717CB"/>
    <w:rsid w:val="00993C25"/>
    <w:rsid w:val="009B6792"/>
    <w:rsid w:val="009D242E"/>
    <w:rsid w:val="009E0DA7"/>
    <w:rsid w:val="009E3615"/>
    <w:rsid w:val="009E7835"/>
    <w:rsid w:val="009F554A"/>
    <w:rsid w:val="009F5770"/>
    <w:rsid w:val="009F6498"/>
    <w:rsid w:val="00A00CC9"/>
    <w:rsid w:val="00A07F78"/>
    <w:rsid w:val="00A17A87"/>
    <w:rsid w:val="00A207DB"/>
    <w:rsid w:val="00A33B74"/>
    <w:rsid w:val="00A42F89"/>
    <w:rsid w:val="00A464C2"/>
    <w:rsid w:val="00A532FA"/>
    <w:rsid w:val="00A61F67"/>
    <w:rsid w:val="00A900C2"/>
    <w:rsid w:val="00A92199"/>
    <w:rsid w:val="00AA1BF9"/>
    <w:rsid w:val="00AA64F8"/>
    <w:rsid w:val="00AB2FAF"/>
    <w:rsid w:val="00AC342F"/>
    <w:rsid w:val="00AC3BFD"/>
    <w:rsid w:val="00AD3766"/>
    <w:rsid w:val="00AE1EFB"/>
    <w:rsid w:val="00AE40FE"/>
    <w:rsid w:val="00AF2FEC"/>
    <w:rsid w:val="00B019A3"/>
    <w:rsid w:val="00B06E66"/>
    <w:rsid w:val="00B1355D"/>
    <w:rsid w:val="00B23309"/>
    <w:rsid w:val="00B350BD"/>
    <w:rsid w:val="00B37863"/>
    <w:rsid w:val="00B44673"/>
    <w:rsid w:val="00B4543C"/>
    <w:rsid w:val="00B47323"/>
    <w:rsid w:val="00B5142C"/>
    <w:rsid w:val="00B51EB9"/>
    <w:rsid w:val="00B9583F"/>
    <w:rsid w:val="00BB334E"/>
    <w:rsid w:val="00BC2A76"/>
    <w:rsid w:val="00BD21EA"/>
    <w:rsid w:val="00BE101E"/>
    <w:rsid w:val="00BE3C7A"/>
    <w:rsid w:val="00C14445"/>
    <w:rsid w:val="00C158D3"/>
    <w:rsid w:val="00C16216"/>
    <w:rsid w:val="00C272CA"/>
    <w:rsid w:val="00C331BC"/>
    <w:rsid w:val="00C421C3"/>
    <w:rsid w:val="00C63D48"/>
    <w:rsid w:val="00C77842"/>
    <w:rsid w:val="00C91FF4"/>
    <w:rsid w:val="00CB0F4F"/>
    <w:rsid w:val="00CC5036"/>
    <w:rsid w:val="00CD106D"/>
    <w:rsid w:val="00CD2EDE"/>
    <w:rsid w:val="00CD75AD"/>
    <w:rsid w:val="00CF5322"/>
    <w:rsid w:val="00D0202E"/>
    <w:rsid w:val="00D07103"/>
    <w:rsid w:val="00D14BDB"/>
    <w:rsid w:val="00D15843"/>
    <w:rsid w:val="00D42713"/>
    <w:rsid w:val="00D43AB2"/>
    <w:rsid w:val="00D55CFD"/>
    <w:rsid w:val="00D7593E"/>
    <w:rsid w:val="00D7656A"/>
    <w:rsid w:val="00DA7795"/>
    <w:rsid w:val="00DD1B74"/>
    <w:rsid w:val="00E074A8"/>
    <w:rsid w:val="00E23719"/>
    <w:rsid w:val="00E25236"/>
    <w:rsid w:val="00E272CE"/>
    <w:rsid w:val="00E3548A"/>
    <w:rsid w:val="00E40F4C"/>
    <w:rsid w:val="00E605A9"/>
    <w:rsid w:val="00E70C75"/>
    <w:rsid w:val="00E75E7C"/>
    <w:rsid w:val="00E8529A"/>
    <w:rsid w:val="00EA7255"/>
    <w:rsid w:val="00EC5824"/>
    <w:rsid w:val="00EC6819"/>
    <w:rsid w:val="00ED4D12"/>
    <w:rsid w:val="00F02002"/>
    <w:rsid w:val="00F340BE"/>
    <w:rsid w:val="00F435D9"/>
    <w:rsid w:val="00F733F4"/>
    <w:rsid w:val="00F87411"/>
    <w:rsid w:val="00F87471"/>
    <w:rsid w:val="00F87AEE"/>
    <w:rsid w:val="00F95ADD"/>
    <w:rsid w:val="00FA21CC"/>
    <w:rsid w:val="00FA63BB"/>
    <w:rsid w:val="00FC2387"/>
    <w:rsid w:val="00FC5698"/>
    <w:rsid w:val="00FD1003"/>
    <w:rsid w:val="00FE1251"/>
    <w:rsid w:val="00FE193F"/>
    <w:rsid w:val="00FE2C81"/>
    <w:rsid w:val="00FE33EB"/>
    <w:rsid w:val="00FF16BD"/>
    <w:rsid w:val="00FF4F73"/>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77130"/>
  <w15:chartTrackingRefBased/>
  <w15:docId w15:val="{B0E661F8-1244-0B45-BCC4-B29026BB5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S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7806"/>
    <w:pPr>
      <w:tabs>
        <w:tab w:val="center" w:pos="4680"/>
        <w:tab w:val="right" w:pos="9360"/>
      </w:tabs>
    </w:pPr>
  </w:style>
  <w:style w:type="character" w:customStyle="1" w:styleId="HeaderChar">
    <w:name w:val="Header Char"/>
    <w:basedOn w:val="DefaultParagraphFont"/>
    <w:link w:val="Header"/>
    <w:uiPriority w:val="99"/>
    <w:rsid w:val="00387806"/>
    <w:rPr>
      <w:lang w:val="en-GB"/>
    </w:rPr>
  </w:style>
  <w:style w:type="paragraph" w:styleId="Footer">
    <w:name w:val="footer"/>
    <w:basedOn w:val="Normal"/>
    <w:link w:val="FooterChar"/>
    <w:uiPriority w:val="99"/>
    <w:unhideWhenUsed/>
    <w:rsid w:val="00387806"/>
    <w:pPr>
      <w:tabs>
        <w:tab w:val="center" w:pos="4680"/>
        <w:tab w:val="right" w:pos="9360"/>
      </w:tabs>
    </w:pPr>
  </w:style>
  <w:style w:type="character" w:customStyle="1" w:styleId="FooterChar">
    <w:name w:val="Footer Char"/>
    <w:basedOn w:val="DefaultParagraphFont"/>
    <w:link w:val="Footer"/>
    <w:uiPriority w:val="99"/>
    <w:rsid w:val="00387806"/>
    <w:rPr>
      <w:lang w:val="en-GB"/>
    </w:rPr>
  </w:style>
  <w:style w:type="paragraph" w:styleId="ListParagraph">
    <w:name w:val="List Paragraph"/>
    <w:basedOn w:val="Normal"/>
    <w:uiPriority w:val="34"/>
    <w:qFormat/>
    <w:rsid w:val="00387806"/>
    <w:pPr>
      <w:ind w:left="720"/>
      <w:contextualSpacing/>
    </w:pPr>
  </w:style>
  <w:style w:type="table" w:styleId="TableGrid">
    <w:name w:val="Table Grid"/>
    <w:basedOn w:val="TableNormal"/>
    <w:uiPriority w:val="39"/>
    <w:rsid w:val="00B2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791D"/>
    <w:rPr>
      <w:color w:val="0563C1" w:themeColor="hyperlink"/>
      <w:u w:val="single"/>
    </w:rPr>
  </w:style>
  <w:style w:type="character" w:customStyle="1" w:styleId="UnresolvedMention1">
    <w:name w:val="Unresolved Mention1"/>
    <w:basedOn w:val="DefaultParagraphFont"/>
    <w:uiPriority w:val="99"/>
    <w:semiHidden/>
    <w:unhideWhenUsed/>
    <w:rsid w:val="0033791D"/>
    <w:rPr>
      <w:color w:val="605E5C"/>
      <w:shd w:val="clear" w:color="auto" w:fill="E1DFDD"/>
    </w:rPr>
  </w:style>
  <w:style w:type="character" w:styleId="PageNumber">
    <w:name w:val="page number"/>
    <w:basedOn w:val="DefaultParagraphFont"/>
    <w:uiPriority w:val="99"/>
    <w:semiHidden/>
    <w:unhideWhenUsed/>
    <w:rsid w:val="00007E5F"/>
  </w:style>
  <w:style w:type="character" w:styleId="FollowedHyperlink">
    <w:name w:val="FollowedHyperlink"/>
    <w:basedOn w:val="DefaultParagraphFont"/>
    <w:uiPriority w:val="99"/>
    <w:semiHidden/>
    <w:unhideWhenUsed/>
    <w:rsid w:val="004F7EB1"/>
    <w:rPr>
      <w:color w:val="954F72" w:themeColor="followedHyperlink"/>
      <w:u w:val="single"/>
    </w:rPr>
  </w:style>
  <w:style w:type="paragraph" w:styleId="BalloonText">
    <w:name w:val="Balloon Text"/>
    <w:basedOn w:val="Normal"/>
    <w:link w:val="BalloonTextChar"/>
    <w:uiPriority w:val="99"/>
    <w:semiHidden/>
    <w:unhideWhenUsed/>
    <w:rsid w:val="00AE40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0FE"/>
    <w:rPr>
      <w:rFonts w:ascii="Segoe UI" w:hAnsi="Segoe UI" w:cs="Segoe UI"/>
      <w:sz w:val="18"/>
      <w:szCs w:val="18"/>
      <w:lang w:val="en-GB"/>
    </w:rPr>
  </w:style>
  <w:style w:type="paragraph" w:styleId="FootnoteText">
    <w:name w:val="footnote text"/>
    <w:basedOn w:val="Normal"/>
    <w:link w:val="FootnoteTextChar"/>
    <w:uiPriority w:val="99"/>
    <w:semiHidden/>
    <w:unhideWhenUsed/>
    <w:rsid w:val="009E3615"/>
    <w:rPr>
      <w:sz w:val="20"/>
      <w:szCs w:val="20"/>
    </w:rPr>
  </w:style>
  <w:style w:type="character" w:customStyle="1" w:styleId="FootnoteTextChar">
    <w:name w:val="Footnote Text Char"/>
    <w:basedOn w:val="DefaultParagraphFont"/>
    <w:link w:val="FootnoteText"/>
    <w:uiPriority w:val="99"/>
    <w:semiHidden/>
    <w:rsid w:val="009E3615"/>
    <w:rPr>
      <w:sz w:val="20"/>
      <w:szCs w:val="20"/>
      <w:lang w:val="en-GB"/>
    </w:rPr>
  </w:style>
  <w:style w:type="character" w:styleId="FootnoteReference">
    <w:name w:val="footnote reference"/>
    <w:basedOn w:val="DefaultParagraphFont"/>
    <w:uiPriority w:val="99"/>
    <w:semiHidden/>
    <w:unhideWhenUsed/>
    <w:rsid w:val="009E3615"/>
    <w:rPr>
      <w:vertAlign w:val="superscript"/>
    </w:rPr>
  </w:style>
  <w:style w:type="character" w:customStyle="1" w:styleId="UnresolvedMention2">
    <w:name w:val="Unresolved Mention2"/>
    <w:basedOn w:val="DefaultParagraphFont"/>
    <w:uiPriority w:val="99"/>
    <w:semiHidden/>
    <w:unhideWhenUsed/>
    <w:rsid w:val="00AD3766"/>
    <w:rPr>
      <w:color w:val="605E5C"/>
      <w:shd w:val="clear" w:color="auto" w:fill="E1DFDD"/>
    </w:rPr>
  </w:style>
  <w:style w:type="character" w:styleId="CommentReference">
    <w:name w:val="annotation reference"/>
    <w:basedOn w:val="DefaultParagraphFont"/>
    <w:uiPriority w:val="99"/>
    <w:semiHidden/>
    <w:unhideWhenUsed/>
    <w:rsid w:val="00A207DB"/>
    <w:rPr>
      <w:sz w:val="16"/>
      <w:szCs w:val="16"/>
    </w:rPr>
  </w:style>
  <w:style w:type="paragraph" w:styleId="CommentText">
    <w:name w:val="annotation text"/>
    <w:basedOn w:val="Normal"/>
    <w:link w:val="CommentTextChar"/>
    <w:uiPriority w:val="99"/>
    <w:semiHidden/>
    <w:unhideWhenUsed/>
    <w:rsid w:val="00A207DB"/>
    <w:rPr>
      <w:sz w:val="20"/>
      <w:szCs w:val="20"/>
    </w:rPr>
  </w:style>
  <w:style w:type="character" w:customStyle="1" w:styleId="CommentTextChar">
    <w:name w:val="Comment Text Char"/>
    <w:basedOn w:val="DefaultParagraphFont"/>
    <w:link w:val="CommentText"/>
    <w:uiPriority w:val="99"/>
    <w:semiHidden/>
    <w:rsid w:val="00A207DB"/>
    <w:rPr>
      <w:sz w:val="20"/>
      <w:szCs w:val="20"/>
      <w:lang w:val="en-GB"/>
    </w:rPr>
  </w:style>
  <w:style w:type="paragraph" w:styleId="CommentSubject">
    <w:name w:val="annotation subject"/>
    <w:basedOn w:val="CommentText"/>
    <w:next w:val="CommentText"/>
    <w:link w:val="CommentSubjectChar"/>
    <w:uiPriority w:val="99"/>
    <w:semiHidden/>
    <w:unhideWhenUsed/>
    <w:rsid w:val="00A207DB"/>
    <w:rPr>
      <w:b/>
      <w:bCs/>
    </w:rPr>
  </w:style>
  <w:style w:type="character" w:customStyle="1" w:styleId="CommentSubjectChar">
    <w:name w:val="Comment Subject Char"/>
    <w:basedOn w:val="CommentTextChar"/>
    <w:link w:val="CommentSubject"/>
    <w:uiPriority w:val="99"/>
    <w:semiHidden/>
    <w:rsid w:val="00A207DB"/>
    <w:rPr>
      <w:b/>
      <w:bCs/>
      <w:sz w:val="20"/>
      <w:szCs w:val="20"/>
      <w:lang w:val="en-GB"/>
    </w:rPr>
  </w:style>
  <w:style w:type="paragraph" w:styleId="Revision">
    <w:name w:val="Revision"/>
    <w:hidden/>
    <w:uiPriority w:val="99"/>
    <w:semiHidden/>
    <w:rsid w:val="007B741D"/>
    <w:rPr>
      <w:lang w:val="en-GB"/>
    </w:rPr>
  </w:style>
  <w:style w:type="paragraph" w:customStyle="1" w:styleId="para">
    <w:name w:val="para"/>
    <w:basedOn w:val="Normal"/>
    <w:rsid w:val="00E75E7C"/>
    <w:pPr>
      <w:spacing w:before="100" w:beforeAutospacing="1" w:after="100" w:afterAutospacing="1"/>
    </w:pPr>
    <w:rPr>
      <w:rFonts w:ascii="Times New Roman" w:eastAsia="Times New Roman" w:hAnsi="Times New Roman" w:cs="Times New Roman"/>
      <w:lang w:val="en-SG" w:eastAsia="en-GB"/>
    </w:rPr>
  </w:style>
  <w:style w:type="character" w:customStyle="1" w:styleId="UnresolvedMention3">
    <w:name w:val="Unresolved Mention3"/>
    <w:basedOn w:val="DefaultParagraphFont"/>
    <w:uiPriority w:val="99"/>
    <w:semiHidden/>
    <w:unhideWhenUsed/>
    <w:rsid w:val="00873705"/>
    <w:rPr>
      <w:color w:val="605E5C"/>
      <w:shd w:val="clear" w:color="auto" w:fill="E1DFDD"/>
    </w:rPr>
  </w:style>
  <w:style w:type="character" w:styleId="UnresolvedMention">
    <w:name w:val="Unresolved Mention"/>
    <w:basedOn w:val="DefaultParagraphFont"/>
    <w:uiPriority w:val="99"/>
    <w:semiHidden/>
    <w:unhideWhenUsed/>
    <w:rsid w:val="00B019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65779">
      <w:bodyDiv w:val="1"/>
      <w:marLeft w:val="0"/>
      <w:marRight w:val="0"/>
      <w:marTop w:val="0"/>
      <w:marBottom w:val="0"/>
      <w:divBdr>
        <w:top w:val="none" w:sz="0" w:space="0" w:color="auto"/>
        <w:left w:val="none" w:sz="0" w:space="0" w:color="auto"/>
        <w:bottom w:val="none" w:sz="0" w:space="0" w:color="auto"/>
        <w:right w:val="none" w:sz="0" w:space="0" w:color="auto"/>
      </w:divBdr>
    </w:div>
    <w:div w:id="528107549">
      <w:bodyDiv w:val="1"/>
      <w:marLeft w:val="0"/>
      <w:marRight w:val="0"/>
      <w:marTop w:val="0"/>
      <w:marBottom w:val="0"/>
      <w:divBdr>
        <w:top w:val="none" w:sz="0" w:space="0" w:color="auto"/>
        <w:left w:val="none" w:sz="0" w:space="0" w:color="auto"/>
        <w:bottom w:val="none" w:sz="0" w:space="0" w:color="auto"/>
        <w:right w:val="none" w:sz="0" w:space="0" w:color="auto"/>
      </w:divBdr>
    </w:div>
    <w:div w:id="701054264">
      <w:bodyDiv w:val="1"/>
      <w:marLeft w:val="0"/>
      <w:marRight w:val="0"/>
      <w:marTop w:val="0"/>
      <w:marBottom w:val="0"/>
      <w:divBdr>
        <w:top w:val="none" w:sz="0" w:space="0" w:color="auto"/>
        <w:left w:val="none" w:sz="0" w:space="0" w:color="auto"/>
        <w:bottom w:val="none" w:sz="0" w:space="0" w:color="auto"/>
        <w:right w:val="none" w:sz="0" w:space="0" w:color="auto"/>
      </w:divBdr>
    </w:div>
    <w:div w:id="712387838">
      <w:bodyDiv w:val="1"/>
      <w:marLeft w:val="0"/>
      <w:marRight w:val="0"/>
      <w:marTop w:val="0"/>
      <w:marBottom w:val="0"/>
      <w:divBdr>
        <w:top w:val="none" w:sz="0" w:space="0" w:color="auto"/>
        <w:left w:val="none" w:sz="0" w:space="0" w:color="auto"/>
        <w:bottom w:val="none" w:sz="0" w:space="0" w:color="auto"/>
        <w:right w:val="none" w:sz="0" w:space="0" w:color="auto"/>
      </w:divBdr>
    </w:div>
    <w:div w:id="1396272278">
      <w:bodyDiv w:val="1"/>
      <w:marLeft w:val="0"/>
      <w:marRight w:val="0"/>
      <w:marTop w:val="0"/>
      <w:marBottom w:val="0"/>
      <w:divBdr>
        <w:top w:val="none" w:sz="0" w:space="0" w:color="auto"/>
        <w:left w:val="none" w:sz="0" w:space="0" w:color="auto"/>
        <w:bottom w:val="none" w:sz="0" w:space="0" w:color="auto"/>
        <w:right w:val="none" w:sz="0" w:space="0" w:color="auto"/>
      </w:divBdr>
    </w:div>
    <w:div w:id="1993868393">
      <w:bodyDiv w:val="1"/>
      <w:marLeft w:val="0"/>
      <w:marRight w:val="0"/>
      <w:marTop w:val="0"/>
      <w:marBottom w:val="0"/>
      <w:divBdr>
        <w:top w:val="none" w:sz="0" w:space="0" w:color="auto"/>
        <w:left w:val="none" w:sz="0" w:space="0" w:color="auto"/>
        <w:bottom w:val="none" w:sz="0" w:space="0" w:color="auto"/>
        <w:right w:val="none" w:sz="0" w:space="0" w:color="auto"/>
      </w:divBdr>
    </w:div>
    <w:div w:id="2087874345">
      <w:bodyDiv w:val="1"/>
      <w:marLeft w:val="0"/>
      <w:marRight w:val="0"/>
      <w:marTop w:val="0"/>
      <w:marBottom w:val="0"/>
      <w:divBdr>
        <w:top w:val="none" w:sz="0" w:space="0" w:color="auto"/>
        <w:left w:val="none" w:sz="0" w:space="0" w:color="auto"/>
        <w:bottom w:val="none" w:sz="0" w:space="0" w:color="auto"/>
        <w:right w:val="none" w:sz="0" w:space="0" w:color="auto"/>
      </w:divBdr>
    </w:div>
    <w:div w:id="213575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r/yBhrkBkQHz"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yusf.usfca.edu/cte/programs-and-resources/faculty-learning-communitie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amioh.edu/cte/faculty-staff/flcs/index.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cademicaffairs.arizona.edu/fl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us.edu.sg/cdtl/professional-development/explore/teaching-enhancement-grants-(teg)/teaching-enhancement-grants-(teg)-learning-communities/teg-learning-community-projects"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nsws.nus.edu.sg/policies/" TargetMode="External"/><Relationship Id="rId1" Type="http://schemas.openxmlformats.org/officeDocument/2006/relationships/hyperlink" Target="http://www.nus.edu.sg/cfg/employers/post-jo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AB709-3BC4-4988-9091-A87556BA7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1385</Words>
  <Characters>7901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Adrian Michael</dc:creator>
  <cp:keywords/>
  <dc:description/>
  <cp:lastModifiedBy>Doreen Thia</cp:lastModifiedBy>
  <cp:revision>6</cp:revision>
  <cp:lastPrinted>2022-11-02T02:52:00Z</cp:lastPrinted>
  <dcterms:created xsi:type="dcterms:W3CDTF">2023-11-15T08:30:00Z</dcterms:created>
  <dcterms:modified xsi:type="dcterms:W3CDTF">2023-11-16T06:40:00Z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7a41a894-24cb-42b9-a740-1071e5b19df6</vt:lpwstr>
  </property>
  <property fmtid="{D5CDD505-2E9C-101B-9397-08002B2CF9AE}" pid="3" name="IsSavedOnce">
    <vt:lpwstr>IsSavedOnceTrue</vt:lpwstr>
  </property>
  <property fmtid="{D5CDD505-2E9C-101B-9397-08002B2CF9AE}" pid="4" name="ExistingClassification">
    <vt:lpwstr>NUS Confidential</vt:lpwstr>
  </property>
  <property fmtid="{D5CDD505-2E9C-101B-9397-08002B2CF9AE}" pid="5" name="ExistingHeaderFooter">
    <vt:lpwstr>None</vt:lpwstr>
  </property>
  <property fmtid="{D5CDD505-2E9C-101B-9397-08002B2CF9AE}" pid="6" name="CLASSIFICATION">
    <vt:lpwstr>NUS Confidential</vt:lpwstr>
  </property>
  <property fmtid="{D5CDD505-2E9C-101B-9397-08002B2CF9AE}" pid="7" name="TITUSMarking">
    <vt:lpwstr>None</vt:lpwstr>
  </property>
</Properties>
</file>